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1DF" w14:textId="77777777" w:rsidR="003566FC" w:rsidRPr="00E57097" w:rsidRDefault="003566FC" w:rsidP="009E45AE">
      <w:pPr>
        <w:ind w:right="-428"/>
        <w:rPr>
          <w:rFonts w:cs="Times New Roman"/>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7"/>
      </w:tblGrid>
      <w:tr w:rsidR="003566FC" w:rsidRPr="003A5A1F" w14:paraId="62B17DAE" w14:textId="77777777" w:rsidTr="001802F1">
        <w:tc>
          <w:tcPr>
            <w:tcW w:w="9777" w:type="dxa"/>
            <w:tcMar>
              <w:left w:w="108" w:type="dxa"/>
              <w:right w:w="108" w:type="dxa"/>
            </w:tcMar>
          </w:tcPr>
          <w:p w14:paraId="38252927" w14:textId="77777777" w:rsidR="003566FC" w:rsidRPr="00E57097" w:rsidRDefault="003566FC">
            <w:pPr>
              <w:rPr>
                <w:rFonts w:cs="Times New Roman"/>
                <w:szCs w:val="24"/>
                <w:lang w:val="fr-FR"/>
              </w:rPr>
            </w:pPr>
          </w:p>
          <w:p w14:paraId="04A8A1CD" w14:textId="77777777" w:rsidR="003566FC" w:rsidRPr="00E57097" w:rsidRDefault="003566FC" w:rsidP="001802F1">
            <w:pPr>
              <w:jc w:val="center"/>
              <w:rPr>
                <w:rFonts w:cs="Times New Roman"/>
                <w:b/>
                <w:sz w:val="32"/>
                <w:szCs w:val="24"/>
              </w:rPr>
            </w:pPr>
            <w:r>
              <w:rPr>
                <w:b/>
                <w:sz w:val="32"/>
              </w:rPr>
              <w:t>Documentation modèle</w:t>
            </w:r>
            <w:r>
              <w:rPr>
                <w:b/>
                <w:sz w:val="32"/>
              </w:rPr>
              <w:br/>
              <w:t>Société en commandite de placements collectifs</w:t>
            </w:r>
          </w:p>
          <w:p w14:paraId="5453E6C6" w14:textId="77777777" w:rsidR="003566FC" w:rsidRPr="00E57097" w:rsidRDefault="003566FC">
            <w:pPr>
              <w:rPr>
                <w:rFonts w:cs="Times New Roman"/>
                <w:szCs w:val="24"/>
                <w:lang w:val="fr-FR"/>
              </w:rPr>
            </w:pPr>
          </w:p>
          <w:p w14:paraId="31C927B3" w14:textId="3FA6A7C7" w:rsidR="003566FC" w:rsidRPr="00A93B5B" w:rsidRDefault="00745EAE" w:rsidP="001802F1">
            <w:pPr>
              <w:jc w:val="center"/>
              <w:rPr>
                <w:rFonts w:cs="Times New Roman"/>
                <w:b/>
                <w:sz w:val="28"/>
                <w:szCs w:val="24"/>
              </w:rPr>
            </w:pPr>
            <w:proofErr w:type="gramStart"/>
            <w:r>
              <w:rPr>
                <w:b/>
                <w:sz w:val="28"/>
              </w:rPr>
              <w:t>préparée</w:t>
            </w:r>
            <w:proofErr w:type="gramEnd"/>
            <w:r>
              <w:rPr>
                <w:b/>
                <w:sz w:val="28"/>
              </w:rPr>
              <w:t xml:space="preserve"> par la SECA et l’AMAS</w:t>
            </w:r>
          </w:p>
          <w:p w14:paraId="0D04DBD7" w14:textId="77777777" w:rsidR="003566FC" w:rsidRPr="00E57097" w:rsidRDefault="003566FC">
            <w:pPr>
              <w:rPr>
                <w:rFonts w:cs="Times New Roman"/>
                <w:szCs w:val="24"/>
                <w:lang w:val="fr-FR"/>
              </w:rPr>
            </w:pPr>
          </w:p>
          <w:p w14:paraId="0E728A78" w14:textId="77777777" w:rsidR="003566FC" w:rsidRPr="00E57097" w:rsidRDefault="00DE4791" w:rsidP="001802F1">
            <w:pPr>
              <w:tabs>
                <w:tab w:val="right" w:pos="9505"/>
              </w:tabs>
              <w:jc w:val="center"/>
              <w:rPr>
                <w:rFonts w:cs="Times New Roman"/>
                <w:b/>
                <w:sz w:val="28"/>
                <w:szCs w:val="24"/>
              </w:rPr>
            </w:pPr>
            <w:r>
              <w:rPr>
                <w:b/>
                <w:sz w:val="28"/>
              </w:rPr>
              <w:t>14 juillet 2015</w:t>
            </w:r>
          </w:p>
          <w:p w14:paraId="5B36DC62" w14:textId="255B4F6A" w:rsidR="003566FC" w:rsidRPr="00E57097" w:rsidRDefault="00227F90" w:rsidP="00DE4791">
            <w:pPr>
              <w:spacing w:before="120"/>
              <w:jc w:val="center"/>
              <w:rPr>
                <w:rFonts w:cs="Times New Roman"/>
                <w:szCs w:val="24"/>
              </w:rPr>
            </w:pPr>
            <w:r>
              <w:t>(État au 24 janvier 2022)</w:t>
            </w:r>
          </w:p>
        </w:tc>
      </w:tr>
    </w:tbl>
    <w:p w14:paraId="4E2F737F" w14:textId="77777777" w:rsidR="00C945EF" w:rsidRPr="00E57097" w:rsidRDefault="00C945EF">
      <w:pPr>
        <w:rPr>
          <w:rFonts w:cs="Times New Roman"/>
          <w:szCs w:val="24"/>
          <w:lang w:val="fr-FR"/>
        </w:rPr>
      </w:pPr>
    </w:p>
    <w:p w14:paraId="0D6EAF93" w14:textId="77777777" w:rsidR="003566FC" w:rsidRPr="00E57097" w:rsidRDefault="003566FC">
      <w:pPr>
        <w:rPr>
          <w:rFonts w:cs="Times New Roman"/>
          <w:szCs w:val="24"/>
          <w:lang w:val="fr-FR"/>
        </w:rPr>
      </w:pPr>
    </w:p>
    <w:p w14:paraId="6A52451C" w14:textId="77777777" w:rsidR="003566FC" w:rsidRPr="00E57097" w:rsidRDefault="003566FC">
      <w:pPr>
        <w:rPr>
          <w:rFonts w:cs="Times New Roman"/>
          <w:szCs w:val="24"/>
          <w:lang w:val="fr-FR"/>
        </w:rPr>
      </w:pPr>
    </w:p>
    <w:tbl>
      <w:tblPr>
        <w:tblW w:w="9828" w:type="dxa"/>
        <w:tblLayout w:type="fixed"/>
        <w:tblLook w:val="01E0" w:firstRow="1" w:lastRow="1" w:firstColumn="1" w:lastColumn="1" w:noHBand="0" w:noVBand="0"/>
      </w:tblPr>
      <w:tblGrid>
        <w:gridCol w:w="9828"/>
      </w:tblGrid>
      <w:tr w:rsidR="003566FC" w:rsidRPr="006C3A4D" w14:paraId="7132E145" w14:textId="77777777" w:rsidTr="009E45AE">
        <w:tc>
          <w:tcPr>
            <w:tcW w:w="9828" w:type="dxa"/>
          </w:tcPr>
          <w:p w14:paraId="7132318A" w14:textId="4E227A73" w:rsidR="003566FC" w:rsidRPr="00E57097" w:rsidRDefault="003566FC">
            <w:pPr>
              <w:rPr>
                <w:rFonts w:cs="Times New Roman"/>
                <w:szCs w:val="24"/>
              </w:rPr>
            </w:pPr>
            <w:r>
              <w:rPr>
                <w:b/>
              </w:rPr>
              <w:t>Remarques:</w:t>
            </w:r>
            <w:r>
              <w:t xml:space="preserve"> le modèle de prospectus et de contrat de société pour la société en commandite de placements collectifs figurant ci-après a été établi sur la base (i) de la loi fédérale sur les placements collectifs de capitaux (ci-après «</w:t>
            </w:r>
            <w:r>
              <w:rPr>
                <w:b/>
              </w:rPr>
              <w:t>LPCC</w:t>
            </w:r>
            <w:r>
              <w:t>») et les ordonnances d’applications du Conseil fédéral (ci-après «</w:t>
            </w:r>
            <w:r>
              <w:rPr>
                <w:b/>
              </w:rPr>
              <w:t>OPCC</w:t>
            </w:r>
            <w:r>
              <w:t>») et de l’Autorité fédérale de surveillance des marchés financiers FINMA (ci-après «</w:t>
            </w:r>
            <w:r>
              <w:rPr>
                <w:b/>
                <w:bCs/>
              </w:rPr>
              <w:t>OPC-FINMA</w:t>
            </w:r>
            <w:r>
              <w:t>»), (ii) de la loi fédérale sur les services financiers (ci-après «</w:t>
            </w:r>
            <w:r w:rsidRPr="009E45AE">
              <w:rPr>
                <w:b/>
                <w:bCs/>
              </w:rPr>
              <w:t>LSFin</w:t>
            </w:r>
            <w:r>
              <w:t>») et l’ordonnance d’application du Conseil fédéral (ci-après «</w:t>
            </w:r>
            <w:r>
              <w:rPr>
                <w:b/>
                <w:bCs/>
              </w:rPr>
              <w:t>OSFin</w:t>
            </w:r>
            <w:r>
              <w:t>») ainsi que (iii) des dispositions du Code des obligations (ci-après «</w:t>
            </w:r>
            <w:r>
              <w:rPr>
                <w:b/>
                <w:bCs/>
              </w:rPr>
              <w:t>CO</w:t>
            </w:r>
            <w:r>
              <w:t>»).</w:t>
            </w:r>
          </w:p>
          <w:p w14:paraId="2DA36A54" w14:textId="77777777" w:rsidR="003566FC" w:rsidRPr="00E57097" w:rsidRDefault="003566FC">
            <w:pPr>
              <w:rPr>
                <w:rFonts w:cs="Times New Roman"/>
                <w:szCs w:val="24"/>
                <w:lang w:val="fr-FR"/>
              </w:rPr>
            </w:pPr>
          </w:p>
        </w:tc>
      </w:tr>
      <w:tr w:rsidR="003566FC" w:rsidRPr="006C3A4D" w14:paraId="6E9260E3" w14:textId="77777777" w:rsidTr="009E45AE">
        <w:tc>
          <w:tcPr>
            <w:tcW w:w="9828" w:type="dxa"/>
          </w:tcPr>
          <w:p w14:paraId="47F8FC37" w14:textId="08084254" w:rsidR="003566FC" w:rsidRPr="007C33AE" w:rsidRDefault="00116546" w:rsidP="009E45AE">
            <w:pPr>
              <w:ind w:right="-486"/>
              <w:rPr>
                <w:rFonts w:cs="Times New Roman"/>
                <w:szCs w:val="24"/>
              </w:rPr>
            </w:pPr>
            <w:r>
              <w:t>La documentation modèle pour la constitution d’une Limited Partnership suisse, respectivement d’une société en commandite de placements collectifs (ci-après</w:t>
            </w:r>
            <w:proofErr w:type="gramStart"/>
            <w:r>
              <w:t xml:space="preserve"> «</w:t>
            </w:r>
            <w:r>
              <w:rPr>
                <w:b/>
                <w:bCs/>
              </w:rPr>
              <w:t>SCmPC</w:t>
            </w:r>
            <w:proofErr w:type="gramEnd"/>
            <w:r>
              <w:rPr>
                <w:b/>
              </w:rPr>
              <w:t>»</w:t>
            </w:r>
            <w:r w:rsidR="00227F90" w:rsidRPr="007C33AE">
              <w:rPr>
                <w:rStyle w:val="Funotenzeichen"/>
                <w:b/>
                <w:szCs w:val="24"/>
                <w:lang w:val="fr-FR"/>
              </w:rPr>
              <w:footnoteReference w:id="1"/>
            </w:r>
            <w:r>
              <w:t xml:space="preserve">) a été élaborée conjointement par </w:t>
            </w:r>
            <w:r w:rsidRPr="009E45AE">
              <w:rPr>
                <w:b/>
              </w:rPr>
              <w:t>l’Asset Management Association Switzerland (AMAS)</w:t>
            </w:r>
            <w:r>
              <w:t xml:space="preserve"> et par la </w:t>
            </w:r>
            <w:r>
              <w:rPr>
                <w:b/>
              </w:rPr>
              <w:t>Swiss Private Equity and Corporate Finance Association (SECA)</w:t>
            </w:r>
            <w:r w:rsidR="00F92137" w:rsidRPr="007C33AE">
              <w:rPr>
                <w:rStyle w:val="Funotenzeichen"/>
                <w:b/>
                <w:szCs w:val="24"/>
                <w:lang w:val="fr-FR"/>
              </w:rPr>
              <w:footnoteReference w:id="2"/>
            </w:r>
            <w:r>
              <w:t>. L’Autorité fédérale de surveillance des marchés financiers FINMA a pris connaissance de cette documentation et l’approuve en tant que documentation de base pour la préparation d’une requête d’autorisation.</w:t>
            </w:r>
          </w:p>
          <w:p w14:paraId="35F0B667" w14:textId="77777777" w:rsidR="003566FC" w:rsidRPr="007C33AE" w:rsidRDefault="003566FC">
            <w:pPr>
              <w:rPr>
                <w:rFonts w:cs="Times New Roman"/>
                <w:szCs w:val="24"/>
                <w:lang w:val="fr-FR"/>
              </w:rPr>
            </w:pPr>
          </w:p>
        </w:tc>
      </w:tr>
      <w:tr w:rsidR="003566FC" w:rsidRPr="006C3A4D" w14:paraId="7AC70E86" w14:textId="77777777" w:rsidTr="009E45AE">
        <w:tc>
          <w:tcPr>
            <w:tcW w:w="9828" w:type="dxa"/>
          </w:tcPr>
          <w:p w14:paraId="009BCBA5" w14:textId="00D82DDD" w:rsidR="003566FC" w:rsidRPr="007C33AE" w:rsidRDefault="003566FC">
            <w:pPr>
              <w:rPr>
                <w:rFonts w:cs="Times New Roman"/>
                <w:szCs w:val="24"/>
              </w:rPr>
            </w:pPr>
            <w:r>
              <w:t xml:space="preserve">Un modèle unique de contrat ne permet pas de refléter la multitude de dispositions et de variantes envisageables dans le cadre de contrats de société s’inscrivant dans un contexte de </w:t>
            </w:r>
            <w:r>
              <w:rPr>
                <w:b/>
              </w:rPr>
              <w:t>fonds concernant des placements alternatifs en général et de</w:t>
            </w:r>
            <w:r>
              <w:t xml:space="preserve"> Private Equity et de Hedge Funds </w:t>
            </w:r>
            <w:r>
              <w:rPr>
                <w:b/>
              </w:rPr>
              <w:t>en particulier</w:t>
            </w:r>
            <w:r>
              <w:t xml:space="preserve">. Ce modèle de contrat est un </w:t>
            </w:r>
            <w:r>
              <w:rPr>
                <w:b/>
              </w:rPr>
              <w:t>modèle de base</w:t>
            </w:r>
            <w:r>
              <w:t>, que les parties peuvent modifier et affiner en fonction de leurs besoins. De nombreuses dispositions sont de nature</w:t>
            </w:r>
            <w:proofErr w:type="gramStart"/>
            <w:r>
              <w:t xml:space="preserve"> </w:t>
            </w:r>
            <w:r>
              <w:rPr>
                <w:sz w:val="24"/>
              </w:rPr>
              <w:t>«</w:t>
            </w:r>
            <w:r>
              <w:t>dispositive</w:t>
            </w:r>
            <w:proofErr w:type="gramEnd"/>
            <w:r>
              <w:t>», respectivement adaptables en fonction des objectifs poursuivis par les parties concernées.</w:t>
            </w:r>
          </w:p>
          <w:p w14:paraId="73E0310F" w14:textId="77777777" w:rsidR="003566FC" w:rsidRPr="007C33AE" w:rsidRDefault="003566FC">
            <w:pPr>
              <w:rPr>
                <w:rFonts w:cs="Times New Roman"/>
                <w:szCs w:val="24"/>
                <w:lang w:val="fr-FR"/>
              </w:rPr>
            </w:pPr>
          </w:p>
        </w:tc>
      </w:tr>
      <w:tr w:rsidR="003566FC" w:rsidRPr="006C3A4D" w14:paraId="286A5AF7" w14:textId="77777777" w:rsidTr="009E45AE">
        <w:tc>
          <w:tcPr>
            <w:tcW w:w="9828" w:type="dxa"/>
          </w:tcPr>
          <w:p w14:paraId="41851CA5" w14:textId="77777777" w:rsidR="003566FC" w:rsidRPr="007C33AE" w:rsidRDefault="00AB46F9">
            <w:pPr>
              <w:rPr>
                <w:rFonts w:cs="Times New Roman"/>
                <w:szCs w:val="24"/>
              </w:rPr>
            </w:pPr>
            <w:r>
              <w:t xml:space="preserve">Au vu du large champ d’application de la SCmPC, il est apparu nécessaire d’orienter le modèle de contrat en fonction d’un </w:t>
            </w:r>
            <w:r>
              <w:rPr>
                <w:b/>
              </w:rPr>
              <w:t>modèle de base</w:t>
            </w:r>
            <w:r>
              <w:t>. Ce modèle de base se fonde sur l’hypothèse d’un fonds de Private Equity fermé (sans possibilité de dénonciation), réunissant un groupe restreint d’investisseurs (qualifiés) et conclu pour une durée limitée (6 à 12 ans).</w:t>
            </w:r>
          </w:p>
          <w:p w14:paraId="2AA8CA6C" w14:textId="77777777" w:rsidR="003566FC" w:rsidRPr="007C33AE" w:rsidRDefault="003566FC">
            <w:pPr>
              <w:rPr>
                <w:rFonts w:cs="Times New Roman"/>
                <w:szCs w:val="24"/>
                <w:lang w:val="fr-FR"/>
              </w:rPr>
            </w:pPr>
          </w:p>
        </w:tc>
      </w:tr>
      <w:tr w:rsidR="003566FC" w:rsidRPr="006C3A4D" w14:paraId="13157DE1" w14:textId="48FA3C78" w:rsidTr="009E45AE">
        <w:tc>
          <w:tcPr>
            <w:tcW w:w="9828" w:type="dxa"/>
          </w:tcPr>
          <w:p w14:paraId="13308562" w14:textId="3FE54F9B" w:rsidR="003566FC" w:rsidRPr="007C33AE" w:rsidRDefault="00F83722">
            <w:pPr>
              <w:rPr>
                <w:rFonts w:cs="Times New Roman"/>
                <w:szCs w:val="24"/>
              </w:rPr>
            </w:pPr>
            <w:r>
              <w:t xml:space="preserve">A teneur de la LPCC et de l’OPCC, toutes les variantes de Hedge Funds, les projets immobiliers, de construction et d’infrastructure, ainsi que leurs formes mixtes </w:t>
            </w:r>
            <w:proofErr w:type="gramStart"/>
            <w:r>
              <w:t>et  les</w:t>
            </w:r>
            <w:proofErr w:type="gramEnd"/>
            <w:r>
              <w:t xml:space="preserve"> fonds de fonds peuvent revêtir la forme de la SCmPC pour procéder aux placements précités.  Ces types de SCmPC sont en partie créés pour une plus longue durée et/ou prévoient, contrairement au présent modèle, un droit de dénonciation et de souscription (après la fondation).</w:t>
            </w:r>
          </w:p>
          <w:p w14:paraId="2379CF61" w14:textId="21C2CB34" w:rsidR="003566FC" w:rsidRPr="007C33AE" w:rsidRDefault="003566FC">
            <w:pPr>
              <w:rPr>
                <w:rFonts w:cs="Times New Roman"/>
                <w:szCs w:val="24"/>
              </w:rPr>
            </w:pPr>
          </w:p>
        </w:tc>
      </w:tr>
      <w:tr w:rsidR="003566FC" w:rsidRPr="006C3A4D" w14:paraId="7BA88BE4" w14:textId="77777777" w:rsidTr="009E45AE">
        <w:tc>
          <w:tcPr>
            <w:tcW w:w="9828" w:type="dxa"/>
            <w:tcBorders>
              <w:bottom w:val="single" w:sz="4" w:space="0" w:color="auto"/>
            </w:tcBorders>
          </w:tcPr>
          <w:p w14:paraId="3A8AD8B6" w14:textId="77777777" w:rsidR="003566FC" w:rsidRPr="007C33AE" w:rsidRDefault="003566FC" w:rsidP="001802F1">
            <w:pPr>
              <w:pageBreakBefore/>
              <w:rPr>
                <w:rFonts w:cs="Times New Roman"/>
                <w:sz w:val="2"/>
                <w:szCs w:val="24"/>
                <w:lang w:val="fr-FR"/>
              </w:rPr>
            </w:pPr>
          </w:p>
        </w:tc>
      </w:tr>
      <w:tr w:rsidR="003566FC" w:rsidRPr="003A5A1F" w14:paraId="208ACB17" w14:textId="77777777" w:rsidTr="009E45AE">
        <w:tc>
          <w:tcPr>
            <w:tcW w:w="9828" w:type="dxa"/>
            <w:tcBorders>
              <w:top w:val="single" w:sz="4" w:space="0" w:color="auto"/>
              <w:left w:val="single" w:sz="4" w:space="0" w:color="auto"/>
              <w:bottom w:val="single" w:sz="4" w:space="0" w:color="auto"/>
              <w:right w:val="single" w:sz="4" w:space="0" w:color="auto"/>
            </w:tcBorders>
          </w:tcPr>
          <w:p w14:paraId="0C0B9880" w14:textId="77777777" w:rsidR="003566FC" w:rsidRPr="007C33AE" w:rsidRDefault="003566FC">
            <w:pPr>
              <w:rPr>
                <w:rFonts w:cs="Times New Roman"/>
                <w:szCs w:val="24"/>
                <w:lang w:val="fr-FR"/>
              </w:rPr>
            </w:pPr>
          </w:p>
          <w:p w14:paraId="33E624EB" w14:textId="77777777" w:rsidR="003566FC" w:rsidRPr="007C33AE" w:rsidRDefault="003566FC" w:rsidP="001802F1">
            <w:pPr>
              <w:jc w:val="center"/>
              <w:rPr>
                <w:rFonts w:cs="Times New Roman"/>
                <w:b/>
                <w:sz w:val="32"/>
                <w:szCs w:val="24"/>
              </w:rPr>
            </w:pPr>
            <w:r>
              <w:rPr>
                <w:b/>
                <w:sz w:val="32"/>
              </w:rPr>
              <w:t>Prospectus modèle</w:t>
            </w:r>
            <w:r w:rsidR="005A4073" w:rsidRPr="007C33AE">
              <w:rPr>
                <w:rStyle w:val="Funotenzeichen"/>
                <w:b/>
                <w:sz w:val="32"/>
                <w:szCs w:val="24"/>
                <w:lang w:val="fr-FR"/>
              </w:rPr>
              <w:footnoteReference w:id="3"/>
            </w:r>
            <w:r>
              <w:rPr>
                <w:b/>
                <w:sz w:val="32"/>
              </w:rPr>
              <w:br/>
              <w:t>Société en commandite de placements collectifs</w:t>
            </w:r>
          </w:p>
          <w:p w14:paraId="1F230A9D" w14:textId="77777777" w:rsidR="003566FC" w:rsidRPr="007C33AE" w:rsidRDefault="003566FC" w:rsidP="001802F1">
            <w:pPr>
              <w:jc w:val="center"/>
              <w:rPr>
                <w:rFonts w:cs="Times New Roman"/>
                <w:b/>
                <w:sz w:val="24"/>
                <w:szCs w:val="24"/>
              </w:rPr>
            </w:pPr>
            <w:proofErr w:type="gramStart"/>
            <w:r>
              <w:rPr>
                <w:b/>
                <w:sz w:val="24"/>
              </w:rPr>
              <w:t>avec</w:t>
            </w:r>
            <w:proofErr w:type="gramEnd"/>
            <w:r>
              <w:rPr>
                <w:b/>
                <w:sz w:val="24"/>
              </w:rPr>
              <w:t xml:space="preserve"> contrat de société intégré</w:t>
            </w:r>
          </w:p>
          <w:p w14:paraId="1E5AE834" w14:textId="77777777" w:rsidR="003566FC" w:rsidRPr="007C33AE" w:rsidRDefault="003566FC" w:rsidP="001802F1">
            <w:pPr>
              <w:jc w:val="center"/>
              <w:rPr>
                <w:rFonts w:cs="Times New Roman"/>
                <w:szCs w:val="24"/>
                <w:lang w:val="fr-FR"/>
              </w:rPr>
            </w:pPr>
          </w:p>
        </w:tc>
      </w:tr>
      <w:tr w:rsidR="003566FC" w:rsidRPr="006C3A4D" w14:paraId="5B7E113B" w14:textId="77777777" w:rsidTr="009E45AE">
        <w:tc>
          <w:tcPr>
            <w:tcW w:w="9828" w:type="dxa"/>
            <w:tcBorders>
              <w:top w:val="single" w:sz="4" w:space="0" w:color="auto"/>
            </w:tcBorders>
          </w:tcPr>
          <w:p w14:paraId="079DEDAD" w14:textId="77777777" w:rsidR="003566FC" w:rsidRPr="007C33AE" w:rsidRDefault="003566FC">
            <w:pPr>
              <w:rPr>
                <w:rFonts w:cs="Times New Roman"/>
                <w:szCs w:val="24"/>
                <w:lang w:val="fr-FR"/>
              </w:rPr>
            </w:pPr>
          </w:p>
          <w:p w14:paraId="1B1E4837" w14:textId="77777777" w:rsidR="003566FC" w:rsidRPr="007C33AE" w:rsidRDefault="003566FC">
            <w:pPr>
              <w:rPr>
                <w:rFonts w:cs="Times New Roman"/>
                <w:szCs w:val="24"/>
                <w:lang w:val="fr-FR"/>
              </w:rPr>
            </w:pPr>
          </w:p>
          <w:p w14:paraId="73C513AF" w14:textId="77777777" w:rsidR="003566FC" w:rsidRPr="007C33AE" w:rsidRDefault="003566FC">
            <w:pPr>
              <w:rPr>
                <w:rFonts w:cs="Times New Roman"/>
                <w:szCs w:val="24"/>
              </w:rPr>
            </w:pPr>
            <w:r>
              <w:t>Les informations retranscrites ci-après représentent en partie une version abrégée du contrat de société figurant ci-dessous. Le contrat de société</w:t>
            </w:r>
            <w:r>
              <w:rPr>
                <w:rStyle w:val="tw4winMark"/>
                <w:vanish w:val="0"/>
                <w:sz w:val="22"/>
                <w:lang w:val="fr-FR"/>
              </w:rPr>
              <w:t xml:space="preserve"> </w:t>
            </w:r>
            <w:r>
              <w:t>prime, s’agissant des informations mentionnées à la fois dans ce prospectus et dans le contrat de société.</w:t>
            </w:r>
            <w:r w:rsidR="00B85659" w:rsidRPr="007C33AE">
              <w:rPr>
                <w:rStyle w:val="Funotenzeichen"/>
                <w:szCs w:val="24"/>
                <w:lang w:val="fr-FR"/>
              </w:rPr>
              <w:footnoteReference w:id="4"/>
            </w:r>
            <w:r>
              <w:t xml:space="preserve"> </w:t>
            </w:r>
          </w:p>
          <w:p w14:paraId="6A911922" w14:textId="77777777" w:rsidR="003566FC" w:rsidRPr="007C33AE" w:rsidRDefault="003566FC">
            <w:pPr>
              <w:rPr>
                <w:rFonts w:cs="Times New Roman"/>
                <w:szCs w:val="24"/>
                <w:lang w:val="fr-FR"/>
              </w:rPr>
            </w:pPr>
          </w:p>
        </w:tc>
      </w:tr>
      <w:tr w:rsidR="003566FC" w:rsidRPr="006C3A4D" w14:paraId="364B20BB" w14:textId="77777777" w:rsidTr="009E45AE">
        <w:tc>
          <w:tcPr>
            <w:tcW w:w="9828" w:type="dxa"/>
          </w:tcPr>
          <w:p w14:paraId="0E67E325" w14:textId="77777777" w:rsidR="003566FC" w:rsidRPr="007C33AE" w:rsidRDefault="003566FC" w:rsidP="001802F1">
            <w:pPr>
              <w:tabs>
                <w:tab w:val="left" w:pos="4860"/>
                <w:tab w:val="left" w:pos="5103"/>
              </w:tabs>
              <w:ind w:left="5103" w:hanging="5103"/>
              <w:jc w:val="left"/>
              <w:rPr>
                <w:rStyle w:val="AuswahltextZchn"/>
                <w:rFonts w:cs="Times New Roman"/>
                <w:color w:val="auto"/>
                <w:szCs w:val="24"/>
              </w:rPr>
            </w:pPr>
            <w:r>
              <w:rPr>
                <w:b/>
              </w:rPr>
              <w:t>Société</w:t>
            </w:r>
            <w:r>
              <w:tab/>
            </w:r>
            <w:r>
              <w:sym w:font="Wingdings" w:char="F09F"/>
            </w:r>
            <w:r>
              <w:tab/>
            </w:r>
            <w:r>
              <w:rPr>
                <w:rStyle w:val="AuswahltextZchn1"/>
              </w:rPr>
              <w:t>Raison sociale, but et siège</w:t>
            </w:r>
          </w:p>
          <w:p w14:paraId="4281CCB2" w14:textId="77777777" w:rsidR="003566FC" w:rsidRPr="007C33AE" w:rsidRDefault="003566FC" w:rsidP="001802F1">
            <w:pPr>
              <w:tabs>
                <w:tab w:val="left" w:pos="4860"/>
                <w:tab w:val="left" w:pos="5103"/>
              </w:tabs>
              <w:ind w:left="5103" w:hanging="5103"/>
              <w:jc w:val="left"/>
              <w:rPr>
                <w:rFonts w:cs="Times New Roman"/>
                <w:szCs w:val="24"/>
              </w:rPr>
            </w:pPr>
            <w:r>
              <w:rPr>
                <w:b/>
              </w:rPr>
              <w:tab/>
            </w:r>
            <w:r>
              <w:rPr>
                <w:b/>
              </w:rPr>
              <w:sym w:font="Wingdings" w:char="F09F"/>
            </w:r>
            <w:r>
              <w:rPr>
                <w:b/>
              </w:rPr>
              <w:tab/>
            </w:r>
            <w:r>
              <w:t>Capital</w:t>
            </w:r>
          </w:p>
          <w:p w14:paraId="0896A2BB" w14:textId="77777777" w:rsidR="003566FC" w:rsidRPr="007C33AE" w:rsidRDefault="003566FC" w:rsidP="001802F1">
            <w:pPr>
              <w:tabs>
                <w:tab w:val="left" w:pos="4860"/>
                <w:tab w:val="left" w:pos="5103"/>
              </w:tabs>
              <w:ind w:left="5103" w:hanging="5103"/>
              <w:jc w:val="left"/>
              <w:rPr>
                <w:rFonts w:cs="Times New Roman"/>
                <w:szCs w:val="24"/>
              </w:rPr>
            </w:pPr>
            <w:r>
              <w:tab/>
            </w:r>
            <w:r>
              <w:sym w:font="Wingdings" w:char="F09F"/>
            </w:r>
            <w:r>
              <w:tab/>
              <w:t>Structure juridique</w:t>
            </w:r>
          </w:p>
          <w:p w14:paraId="15EDA026" w14:textId="77777777" w:rsidR="003566FC" w:rsidRPr="007C33AE" w:rsidRDefault="003566FC" w:rsidP="001802F1">
            <w:pPr>
              <w:tabs>
                <w:tab w:val="left" w:pos="4860"/>
                <w:tab w:val="left" w:pos="5103"/>
              </w:tabs>
              <w:ind w:left="5103" w:hanging="5103"/>
              <w:jc w:val="left"/>
              <w:rPr>
                <w:rFonts w:cs="Times New Roman"/>
                <w:szCs w:val="24"/>
              </w:rPr>
            </w:pPr>
            <w:r>
              <w:tab/>
            </w:r>
            <w:r>
              <w:sym w:font="Wingdings" w:char="F09F"/>
            </w:r>
            <w:r>
              <w:tab/>
              <w:t>Autorisation et surveillance par l’Autorité fédérale de surveillance des marchés financiers FINMA</w:t>
            </w:r>
          </w:p>
          <w:p w14:paraId="58259ED4" w14:textId="77777777" w:rsidR="003566FC" w:rsidRPr="007C33AE" w:rsidRDefault="003566FC" w:rsidP="001802F1">
            <w:pPr>
              <w:tabs>
                <w:tab w:val="left" w:pos="4860"/>
                <w:tab w:val="left" w:pos="5103"/>
              </w:tabs>
              <w:ind w:left="5103" w:hanging="5103"/>
              <w:jc w:val="left"/>
              <w:rPr>
                <w:rFonts w:cs="Times New Roman"/>
                <w:szCs w:val="24"/>
                <w:lang w:val="fr-FR"/>
              </w:rPr>
            </w:pPr>
          </w:p>
        </w:tc>
      </w:tr>
      <w:tr w:rsidR="003566FC" w:rsidRPr="006C3A4D" w14:paraId="4299652F" w14:textId="77777777" w:rsidTr="009E45AE">
        <w:tc>
          <w:tcPr>
            <w:tcW w:w="9828" w:type="dxa"/>
          </w:tcPr>
          <w:p w14:paraId="7B33671E" w14:textId="77777777" w:rsidR="003566FC" w:rsidRPr="007C33AE" w:rsidRDefault="003566FC" w:rsidP="001802F1">
            <w:pPr>
              <w:tabs>
                <w:tab w:val="left" w:pos="4860"/>
                <w:tab w:val="left" w:pos="5103"/>
              </w:tabs>
              <w:ind w:left="5103" w:hanging="5103"/>
              <w:jc w:val="left"/>
              <w:rPr>
                <w:rStyle w:val="AuswahltextZchn"/>
                <w:rFonts w:cs="Times New Roman"/>
                <w:color w:val="auto"/>
                <w:szCs w:val="24"/>
              </w:rPr>
            </w:pPr>
            <w:r>
              <w:rPr>
                <w:b/>
              </w:rPr>
              <w:t>SA indéfiniment responsable</w:t>
            </w:r>
            <w:r>
              <w:rPr>
                <w:b/>
              </w:rPr>
              <w:tab/>
            </w:r>
            <w:r>
              <w:sym w:font="Wingdings" w:char="F09F"/>
            </w:r>
            <w:r>
              <w:tab/>
              <w:t xml:space="preserve">But, </w:t>
            </w:r>
            <w:r>
              <w:rPr>
                <w:rStyle w:val="AuswahltextZchn1"/>
              </w:rPr>
              <w:t>raison sociale et siège</w:t>
            </w:r>
          </w:p>
          <w:p w14:paraId="7E07EB25" w14:textId="77777777" w:rsidR="003566FC" w:rsidRPr="007C33AE" w:rsidRDefault="003566FC" w:rsidP="001802F1">
            <w:pPr>
              <w:tabs>
                <w:tab w:val="left" w:pos="4860"/>
                <w:tab w:val="left" w:pos="5103"/>
              </w:tabs>
              <w:ind w:left="5103" w:hanging="5103"/>
              <w:jc w:val="left"/>
              <w:rPr>
                <w:rFonts w:cs="Times New Roman"/>
                <w:szCs w:val="24"/>
              </w:rPr>
            </w:pPr>
            <w:r>
              <w:rPr>
                <w:b/>
              </w:rPr>
              <w:tab/>
            </w:r>
            <w:r>
              <w:sym w:font="Wingdings" w:char="F09F"/>
            </w:r>
            <w:r>
              <w:tab/>
              <w:t>Capital et actionnaires</w:t>
            </w:r>
          </w:p>
          <w:p w14:paraId="10D4F762" w14:textId="77777777" w:rsidR="003566FC" w:rsidRPr="007C33AE" w:rsidRDefault="003566FC" w:rsidP="001802F1">
            <w:pPr>
              <w:tabs>
                <w:tab w:val="left" w:pos="4860"/>
                <w:tab w:val="left" w:pos="5103"/>
              </w:tabs>
              <w:ind w:left="5103" w:hanging="5103"/>
              <w:jc w:val="left"/>
              <w:rPr>
                <w:rFonts w:cs="Times New Roman"/>
                <w:szCs w:val="24"/>
              </w:rPr>
            </w:pPr>
            <w:r>
              <w:tab/>
            </w:r>
            <w:r>
              <w:sym w:font="Wingdings" w:char="F09F"/>
            </w:r>
            <w:r>
              <w:tab/>
              <w:t>Conseil d’administration</w:t>
            </w:r>
          </w:p>
          <w:p w14:paraId="552337B4" w14:textId="77777777" w:rsidR="003566FC" w:rsidRPr="007C33AE" w:rsidRDefault="003566FC" w:rsidP="001802F1">
            <w:pPr>
              <w:tabs>
                <w:tab w:val="left" w:pos="4860"/>
                <w:tab w:val="left" w:pos="5103"/>
              </w:tabs>
              <w:ind w:left="5103" w:hanging="5103"/>
              <w:jc w:val="left"/>
              <w:rPr>
                <w:rFonts w:cs="Times New Roman"/>
                <w:szCs w:val="24"/>
              </w:rPr>
            </w:pPr>
            <w:r>
              <w:tab/>
            </w:r>
            <w:r>
              <w:sym w:font="Wingdings" w:char="F09F"/>
            </w:r>
            <w:r>
              <w:tab/>
              <w:t>Organe de révision</w:t>
            </w:r>
          </w:p>
          <w:p w14:paraId="431CCAB5" w14:textId="77777777" w:rsidR="003566FC" w:rsidRPr="007C33AE" w:rsidRDefault="003566FC" w:rsidP="001802F1">
            <w:pPr>
              <w:tabs>
                <w:tab w:val="left" w:pos="4860"/>
                <w:tab w:val="left" w:pos="5103"/>
              </w:tabs>
              <w:ind w:left="5103" w:hanging="5103"/>
              <w:jc w:val="left"/>
              <w:rPr>
                <w:rFonts w:cs="Times New Roman"/>
                <w:szCs w:val="24"/>
                <w:lang w:val="fr-FR"/>
              </w:rPr>
            </w:pPr>
          </w:p>
        </w:tc>
      </w:tr>
      <w:tr w:rsidR="00650838" w:rsidRPr="00650838" w14:paraId="372ADF86" w14:textId="77777777" w:rsidTr="009E45AE">
        <w:tc>
          <w:tcPr>
            <w:tcW w:w="9828" w:type="dxa"/>
          </w:tcPr>
          <w:p w14:paraId="11CB9757" w14:textId="77777777" w:rsidR="003566FC" w:rsidRPr="00650838" w:rsidRDefault="003566FC" w:rsidP="001802F1">
            <w:pPr>
              <w:tabs>
                <w:tab w:val="left" w:pos="4860"/>
              </w:tabs>
              <w:jc w:val="left"/>
              <w:rPr>
                <w:rFonts w:cs="Times New Roman"/>
                <w:color w:val="FF0000"/>
                <w:szCs w:val="24"/>
              </w:rPr>
            </w:pPr>
            <w:r w:rsidRPr="00650838">
              <w:rPr>
                <w:rStyle w:val="AuswahltextZchn1"/>
              </w:rPr>
              <w:t xml:space="preserve">Personnes chargées de la </w:t>
            </w:r>
            <w:proofErr w:type="gramStart"/>
            <w:r w:rsidRPr="00650838">
              <w:rPr>
                <w:rStyle w:val="AuswahltextZchn1"/>
              </w:rPr>
              <w:t>gestion;</w:t>
            </w:r>
            <w:proofErr w:type="gramEnd"/>
            <w:r w:rsidRPr="00650838">
              <w:rPr>
                <w:color w:val="FF0000"/>
              </w:rPr>
              <w:tab/>
              <w:t xml:space="preserve">[nom et parcours professionnel, notamment </w:t>
            </w:r>
            <w:r w:rsidRPr="00650838">
              <w:rPr>
                <w:rStyle w:val="AuswahltextZchn1"/>
              </w:rPr>
              <w:t>personnes clés</w:t>
            </w:r>
            <w:r w:rsidRPr="00650838">
              <w:rPr>
                <w:color w:val="FF0000"/>
              </w:rPr>
              <w:tab/>
              <w:t xml:space="preserve">s’agissant de la formation et du </w:t>
            </w:r>
            <w:r w:rsidRPr="00650838">
              <w:rPr>
                <w:i/>
                <w:color w:val="FF0000"/>
              </w:rPr>
              <w:t>Track Record</w:t>
            </w:r>
            <w:r w:rsidRPr="00650838">
              <w:rPr>
                <w:color w:val="FF0000"/>
              </w:rPr>
              <w:t>]</w:t>
            </w:r>
          </w:p>
          <w:p w14:paraId="4A79A139" w14:textId="77777777" w:rsidR="003566FC" w:rsidRPr="00650838" w:rsidRDefault="003566FC" w:rsidP="001802F1">
            <w:pPr>
              <w:tabs>
                <w:tab w:val="left" w:pos="4860"/>
              </w:tabs>
              <w:jc w:val="left"/>
              <w:rPr>
                <w:rFonts w:cs="Times New Roman"/>
                <w:color w:val="FF0000"/>
                <w:szCs w:val="24"/>
                <w:lang w:val="fr-FR"/>
              </w:rPr>
            </w:pPr>
          </w:p>
        </w:tc>
      </w:tr>
      <w:tr w:rsidR="003566FC" w:rsidRPr="006C3A4D" w14:paraId="2782FD70" w14:textId="77777777" w:rsidTr="009E45AE">
        <w:tc>
          <w:tcPr>
            <w:tcW w:w="9828" w:type="dxa"/>
          </w:tcPr>
          <w:p w14:paraId="02CDED07" w14:textId="77777777" w:rsidR="003566FC" w:rsidRPr="00650838" w:rsidRDefault="003566FC" w:rsidP="001802F1">
            <w:pPr>
              <w:tabs>
                <w:tab w:val="left" w:pos="4860"/>
              </w:tabs>
              <w:ind w:left="4859" w:hanging="4859"/>
              <w:jc w:val="left"/>
              <w:rPr>
                <w:rFonts w:cs="Times New Roman"/>
                <w:color w:val="FF0000"/>
                <w:szCs w:val="24"/>
              </w:rPr>
            </w:pPr>
            <w:r>
              <w:rPr>
                <w:rStyle w:val="AuswahltextZchn1"/>
                <w:b/>
              </w:rPr>
              <w:t>[Investment Manager, Advisor, Administrat</w:t>
            </w:r>
            <w:r w:rsidRPr="00650838">
              <w:rPr>
                <w:rStyle w:val="AuswahltextZchn1"/>
                <w:b/>
              </w:rPr>
              <w:t>or</w:t>
            </w:r>
            <w:r w:rsidRPr="00650838">
              <w:rPr>
                <w:color w:val="FF0000"/>
              </w:rPr>
              <w:tab/>
            </w:r>
            <w:r w:rsidRPr="00650838">
              <w:rPr>
                <w:b/>
                <w:color w:val="FF0000"/>
              </w:rPr>
              <w:t xml:space="preserve">[seulement en cas de </w:t>
            </w:r>
            <w:proofErr w:type="gramStart"/>
            <w:r w:rsidRPr="00650838">
              <w:rPr>
                <w:b/>
                <w:color w:val="FF0000"/>
              </w:rPr>
              <w:t>délégation:</w:t>
            </w:r>
            <w:proofErr w:type="gramEnd"/>
            <w:r w:rsidRPr="00650838">
              <w:rPr>
                <w:b/>
                <w:color w:val="FF0000"/>
              </w:rPr>
              <w:t>]</w:t>
            </w:r>
          </w:p>
          <w:p w14:paraId="310AD4C0" w14:textId="7EF2979B" w:rsidR="003566FC" w:rsidRPr="007C33AE" w:rsidRDefault="00624226" w:rsidP="001802F1">
            <w:pPr>
              <w:tabs>
                <w:tab w:val="left" w:pos="4860"/>
                <w:tab w:val="left" w:pos="5103"/>
              </w:tabs>
              <w:ind w:left="5103" w:hanging="5103"/>
              <w:jc w:val="left"/>
              <w:rPr>
                <w:rFonts w:cs="Times New Roman"/>
                <w:szCs w:val="24"/>
              </w:rPr>
            </w:pPr>
            <w:proofErr w:type="gramStart"/>
            <w:r w:rsidRPr="00650838">
              <w:rPr>
                <w:color w:val="FF0000"/>
              </w:rPr>
              <w:t>si</w:t>
            </w:r>
            <w:proofErr w:type="gramEnd"/>
            <w:r w:rsidRPr="00650838">
              <w:rPr>
                <w:color w:val="FF0000"/>
              </w:rPr>
              <w:t xml:space="preserve"> applicable]</w:t>
            </w:r>
            <w:r w:rsidRPr="00650838">
              <w:rPr>
                <w:b/>
                <w:color w:val="FF0000"/>
              </w:rPr>
              <w:tab/>
            </w:r>
            <w:r>
              <w:sym w:font="Wingdings" w:char="F09F"/>
            </w:r>
            <w:r>
              <w:tab/>
              <w:t>Renseignements sur les entreprises et les personnes auxquelles la gestion et/ou le pouvoir de représentation est partiellement ou entièrement délégué (y compris le statut d'autorisation).</w:t>
            </w:r>
          </w:p>
          <w:p w14:paraId="07908DDE" w14:textId="77777777" w:rsidR="003566FC" w:rsidRPr="007C33AE" w:rsidRDefault="003566FC" w:rsidP="001802F1">
            <w:pPr>
              <w:tabs>
                <w:tab w:val="left" w:pos="4860"/>
                <w:tab w:val="left" w:pos="5103"/>
              </w:tabs>
              <w:ind w:left="5103" w:hanging="5103"/>
              <w:jc w:val="left"/>
              <w:rPr>
                <w:rFonts w:cs="Times New Roman"/>
                <w:szCs w:val="24"/>
              </w:rPr>
            </w:pPr>
            <w:r>
              <w:tab/>
            </w:r>
            <w:r>
              <w:sym w:font="Wingdings" w:char="F09F"/>
            </w:r>
            <w:r>
              <w:tab/>
              <w:t>Référence à des contrats importants.</w:t>
            </w:r>
          </w:p>
          <w:p w14:paraId="4F9F2609" w14:textId="77777777" w:rsidR="003566FC" w:rsidRPr="007C33AE" w:rsidRDefault="003566FC" w:rsidP="001802F1">
            <w:pPr>
              <w:tabs>
                <w:tab w:val="left" w:pos="4860"/>
                <w:tab w:val="left" w:pos="5103"/>
              </w:tabs>
              <w:ind w:left="5103" w:hanging="5103"/>
              <w:jc w:val="left"/>
              <w:rPr>
                <w:rFonts w:cs="Times New Roman"/>
                <w:szCs w:val="24"/>
                <w:lang w:val="fr-FR"/>
              </w:rPr>
            </w:pPr>
          </w:p>
        </w:tc>
      </w:tr>
      <w:tr w:rsidR="003566FC" w:rsidRPr="00C53FE5" w14:paraId="2471417A" w14:textId="77777777" w:rsidTr="009E45AE">
        <w:tc>
          <w:tcPr>
            <w:tcW w:w="9828" w:type="dxa"/>
          </w:tcPr>
          <w:p w14:paraId="6741872E" w14:textId="77777777" w:rsidR="003566FC" w:rsidRPr="009E45AE" w:rsidRDefault="003566FC" w:rsidP="001802F1">
            <w:pPr>
              <w:tabs>
                <w:tab w:val="left" w:pos="4860"/>
              </w:tabs>
              <w:ind w:left="4860" w:hanging="4860"/>
              <w:jc w:val="left"/>
              <w:rPr>
                <w:rFonts w:cs="Times New Roman"/>
                <w:color w:val="FF0000"/>
                <w:szCs w:val="24"/>
              </w:rPr>
            </w:pPr>
            <w:r w:rsidRPr="009E45AE">
              <w:rPr>
                <w:b/>
                <w:color w:val="FF0000"/>
              </w:rPr>
              <w:t>[Comité consultatif</w:t>
            </w:r>
            <w:r w:rsidRPr="009E45AE">
              <w:rPr>
                <w:color w:val="FF0000"/>
              </w:rPr>
              <w:t>,</w:t>
            </w:r>
            <w:r w:rsidRPr="009E45AE">
              <w:rPr>
                <w:b/>
                <w:color w:val="FF0000"/>
              </w:rPr>
              <w:t xml:space="preserve"> </w:t>
            </w:r>
            <w:r w:rsidRPr="009E45AE">
              <w:rPr>
                <w:color w:val="FF0000"/>
              </w:rPr>
              <w:t>si applicable</w:t>
            </w:r>
            <w:r w:rsidRPr="009E45AE">
              <w:rPr>
                <w:b/>
                <w:color w:val="FF0000"/>
              </w:rPr>
              <w:t>]</w:t>
            </w:r>
            <w:r w:rsidRPr="009E45AE">
              <w:rPr>
                <w:b/>
                <w:color w:val="FF0000"/>
              </w:rPr>
              <w:tab/>
            </w:r>
            <w:r w:rsidRPr="009E45AE">
              <w:rPr>
                <w:color w:val="FF0000"/>
              </w:rPr>
              <w:t>[Fonction]</w:t>
            </w:r>
          </w:p>
          <w:p w14:paraId="57EBD337" w14:textId="2D8BC8F8" w:rsidR="003566FC" w:rsidRPr="009E45AE" w:rsidRDefault="003566FC" w:rsidP="001802F1">
            <w:pPr>
              <w:tabs>
                <w:tab w:val="left" w:pos="4860"/>
              </w:tabs>
              <w:ind w:left="4860" w:hanging="4860"/>
              <w:jc w:val="left"/>
              <w:rPr>
                <w:rFonts w:cs="Times New Roman"/>
                <w:noProof/>
                <w:color w:val="FF0000"/>
                <w:szCs w:val="24"/>
              </w:rPr>
            </w:pPr>
            <w:r w:rsidRPr="009E45AE">
              <w:rPr>
                <w:color w:val="FF0000"/>
              </w:rPr>
              <w:tab/>
              <w:t>[</w:t>
            </w:r>
            <w:proofErr w:type="gramStart"/>
            <w:r w:rsidRPr="009E45AE">
              <w:rPr>
                <w:color w:val="FF0000"/>
              </w:rPr>
              <w:t>nom</w:t>
            </w:r>
            <w:proofErr w:type="gramEnd"/>
            <w:r w:rsidRPr="009E45AE">
              <w:rPr>
                <w:color w:val="FF0000"/>
              </w:rPr>
              <w:t xml:space="preserve"> et parcours professionnel, notamment s’agissant de la formation et du </w:t>
            </w:r>
            <w:r w:rsidRPr="009E45AE">
              <w:rPr>
                <w:i/>
                <w:color w:val="FF0000"/>
              </w:rPr>
              <w:t>Track Record</w:t>
            </w:r>
            <w:r w:rsidRPr="009E45AE">
              <w:rPr>
                <w:color w:val="FF0000"/>
              </w:rPr>
              <w:t>]</w:t>
            </w:r>
          </w:p>
          <w:p w14:paraId="66A991B5" w14:textId="77777777" w:rsidR="00754212" w:rsidRDefault="00754212" w:rsidP="001802F1">
            <w:pPr>
              <w:tabs>
                <w:tab w:val="left" w:pos="4860"/>
              </w:tabs>
              <w:ind w:left="4860" w:hanging="4860"/>
              <w:jc w:val="left"/>
              <w:rPr>
                <w:rFonts w:cs="Times New Roman"/>
                <w:noProof/>
                <w:szCs w:val="24"/>
                <w:lang w:val="fr-FR"/>
              </w:rPr>
            </w:pPr>
          </w:p>
          <w:p w14:paraId="15D8AD97" w14:textId="5B2BC4E6" w:rsidR="00754212" w:rsidRDefault="00754212" w:rsidP="00754212">
            <w:pPr>
              <w:tabs>
                <w:tab w:val="left" w:pos="4860"/>
                <w:tab w:val="left" w:pos="5103"/>
              </w:tabs>
              <w:ind w:left="5103" w:hanging="5103"/>
              <w:rPr>
                <w:rStyle w:val="AuswahltextZchn"/>
              </w:rPr>
            </w:pPr>
            <w:r>
              <w:rPr>
                <w:b/>
              </w:rPr>
              <w:t xml:space="preserve">But, </w:t>
            </w:r>
            <w:r>
              <w:rPr>
                <w:rStyle w:val="AuswahltextZchn"/>
                <w:b/>
              </w:rPr>
              <w:t>placements,</w:t>
            </w:r>
            <w:r w:rsidR="00BD66DB">
              <w:tab/>
            </w:r>
            <w:r>
              <w:rPr>
                <w:rStyle w:val="AuswahltextZchn"/>
              </w:rPr>
              <w:sym w:font="Wingdings" w:char="F09F"/>
            </w:r>
            <w:r>
              <w:tab/>
            </w:r>
            <w:r>
              <w:rPr>
                <w:rStyle w:val="AuswahltextZchn"/>
              </w:rPr>
              <w:t>But</w:t>
            </w:r>
          </w:p>
          <w:p w14:paraId="34883859" w14:textId="312D7836" w:rsidR="00754212" w:rsidRPr="00650838" w:rsidRDefault="00650838" w:rsidP="00650838">
            <w:pPr>
              <w:tabs>
                <w:tab w:val="left" w:pos="4860"/>
                <w:tab w:val="left" w:pos="5103"/>
              </w:tabs>
              <w:rPr>
                <w:rStyle w:val="AuswahltextZchn"/>
                <w:color w:val="auto"/>
              </w:rPr>
            </w:pPr>
            <w:r>
              <w:tab/>
            </w:r>
            <w:r>
              <w:sym w:font="Wingdings" w:char="F09F"/>
            </w:r>
            <w:r>
              <w:tab/>
            </w:r>
            <w:r w:rsidR="00754212" w:rsidRPr="00650838">
              <w:rPr>
                <w:rStyle w:val="AuswahltextZchn"/>
                <w:color w:val="auto"/>
              </w:rPr>
              <w:t>Placements</w:t>
            </w:r>
          </w:p>
          <w:p w14:paraId="68E6748A" w14:textId="77777777" w:rsidR="00754212" w:rsidRDefault="00754212" w:rsidP="00754212">
            <w:pPr>
              <w:tabs>
                <w:tab w:val="left" w:pos="4860"/>
                <w:tab w:val="left" w:pos="5103"/>
              </w:tabs>
              <w:ind w:left="5103" w:hanging="5103"/>
            </w:pPr>
            <w:r>
              <w:tab/>
            </w:r>
            <w:r>
              <w:sym w:font="Wingdings" w:char="F09F"/>
            </w:r>
            <w:r>
              <w:tab/>
              <w:t xml:space="preserve">Politique de </w:t>
            </w:r>
            <w:proofErr w:type="gramStart"/>
            <w:r>
              <w:t>placement:</w:t>
            </w:r>
            <w:proofErr w:type="gramEnd"/>
          </w:p>
          <w:p w14:paraId="6C11B38A" w14:textId="77777777" w:rsidR="00754212" w:rsidRPr="009E45AE" w:rsidRDefault="00754212" w:rsidP="00754212">
            <w:pPr>
              <w:tabs>
                <w:tab w:val="left" w:pos="5103"/>
                <w:tab w:val="left" w:pos="5387"/>
              </w:tabs>
              <w:ind w:left="5387" w:hanging="5387"/>
              <w:rPr>
                <w:lang w:val="en-US"/>
              </w:rPr>
            </w:pPr>
            <w:r>
              <w:tab/>
              <w:t>-</w:t>
            </w:r>
            <w:r>
              <w:tab/>
              <w:t xml:space="preserve">Stade des investissements (p. ex. </w:t>
            </w:r>
            <w:r w:rsidRPr="009E45AE">
              <w:rPr>
                <w:lang w:val="en-US"/>
              </w:rPr>
              <w:t>Venture/Early Stage, Buyout, etc.)</w:t>
            </w:r>
          </w:p>
          <w:p w14:paraId="0D12C737" w14:textId="345DE451" w:rsidR="003566FC" w:rsidRPr="00272362" w:rsidRDefault="00754212" w:rsidP="00272362">
            <w:pPr>
              <w:tabs>
                <w:tab w:val="left" w:pos="5103"/>
                <w:tab w:val="left" w:pos="5387"/>
              </w:tabs>
              <w:ind w:left="5387" w:hanging="5387"/>
            </w:pPr>
            <w:r w:rsidRPr="009E45AE">
              <w:rPr>
                <w:lang w:val="en-US"/>
              </w:rPr>
              <w:tab/>
            </w:r>
            <w:r>
              <w:t>-</w:t>
            </w:r>
            <w:r>
              <w:tab/>
              <w:t>Implantation géographique</w:t>
            </w:r>
          </w:p>
        </w:tc>
      </w:tr>
      <w:tr w:rsidR="00E7533F" w:rsidRPr="00C53FE5" w14:paraId="49CF68AC" w14:textId="77777777" w:rsidTr="009E45AE">
        <w:tc>
          <w:tcPr>
            <w:tcW w:w="9828" w:type="dxa"/>
          </w:tcPr>
          <w:p w14:paraId="28220A68" w14:textId="6D9AC28F" w:rsidR="00E7533F" w:rsidRPr="007C33AE" w:rsidRDefault="00E7533F" w:rsidP="00272362">
            <w:pPr>
              <w:pageBreakBefore/>
              <w:tabs>
                <w:tab w:val="left" w:pos="4860"/>
                <w:tab w:val="left" w:pos="5103"/>
              </w:tabs>
              <w:ind w:left="5103" w:hanging="5103"/>
              <w:rPr>
                <w:rFonts w:cs="Times New Roman"/>
                <w:szCs w:val="24"/>
              </w:rPr>
            </w:pPr>
            <w:r>
              <w:rPr>
                <w:b/>
              </w:rPr>
              <w:lastRenderedPageBreak/>
              <w:t>Risques</w:t>
            </w:r>
            <w:r>
              <w:tab/>
            </w:r>
            <w:r>
              <w:sym w:font="Wingdings" w:char="F09F"/>
            </w:r>
            <w:r>
              <w:tab/>
              <w:t>Absence de liquidité, perte totale d’un investissement et autres événements similaires</w:t>
            </w:r>
          </w:p>
          <w:p w14:paraId="5B72450A" w14:textId="77777777" w:rsidR="00E7533F" w:rsidRPr="007C33AE" w:rsidRDefault="00E7533F" w:rsidP="00E7533F">
            <w:pPr>
              <w:rPr>
                <w:lang w:val="fr-FR"/>
              </w:rPr>
            </w:pPr>
          </w:p>
        </w:tc>
      </w:tr>
      <w:tr w:rsidR="00E7533F" w:rsidRPr="00E7533F" w14:paraId="70FC5318" w14:textId="77777777" w:rsidTr="009E45AE">
        <w:tc>
          <w:tcPr>
            <w:tcW w:w="9828" w:type="dxa"/>
          </w:tcPr>
          <w:p w14:paraId="2BE1E2E8" w14:textId="392D925B" w:rsidR="00E7533F" w:rsidRDefault="00E7533F" w:rsidP="00E7533F">
            <w:pPr>
              <w:tabs>
                <w:tab w:val="left" w:pos="4860"/>
              </w:tabs>
              <w:ind w:left="4860" w:hanging="4860"/>
            </w:pPr>
            <w:r>
              <w:rPr>
                <w:b/>
              </w:rPr>
              <w:t xml:space="preserve">Service de </w:t>
            </w:r>
            <w:proofErr w:type="gramStart"/>
            <w:r>
              <w:rPr>
                <w:b/>
              </w:rPr>
              <w:t>paiement,  de</w:t>
            </w:r>
            <w:proofErr w:type="gramEnd"/>
            <w:r>
              <w:rPr>
                <w:b/>
              </w:rPr>
              <w:t xml:space="preserve"> dépôts, et dépositaire</w:t>
            </w:r>
            <w:r w:rsidRPr="007A07F2">
              <w:rPr>
                <w:rStyle w:val="Funotenzeichen"/>
                <w:b/>
              </w:rPr>
              <w:footnoteReference w:id="5"/>
            </w:r>
            <w:r>
              <w:rPr>
                <w:b/>
              </w:rPr>
              <w:tab/>
            </w:r>
            <w:r>
              <w:rPr>
                <w:color w:val="FF0000"/>
              </w:rPr>
              <w:t>[Nom, etc.]</w:t>
            </w:r>
          </w:p>
          <w:p w14:paraId="61F78D80" w14:textId="77777777" w:rsidR="00E7533F" w:rsidRPr="009E45AE" w:rsidRDefault="00E7533F" w:rsidP="00E7533F">
            <w:pPr>
              <w:tabs>
                <w:tab w:val="left" w:pos="4860"/>
              </w:tabs>
              <w:ind w:left="4860" w:hanging="4860"/>
              <w:jc w:val="left"/>
              <w:rPr>
                <w:rFonts w:cs="Times New Roman"/>
                <w:szCs w:val="24"/>
              </w:rPr>
            </w:pPr>
          </w:p>
        </w:tc>
      </w:tr>
      <w:tr w:rsidR="00E7533F" w:rsidRPr="006C3A4D" w14:paraId="1A849A3A" w14:textId="77777777" w:rsidTr="009E45AE">
        <w:tc>
          <w:tcPr>
            <w:tcW w:w="9828" w:type="dxa"/>
          </w:tcPr>
          <w:p w14:paraId="1B0CB9A1" w14:textId="77777777" w:rsidR="00E7533F" w:rsidRPr="007C33AE" w:rsidRDefault="00E7533F" w:rsidP="00E7533F">
            <w:pPr>
              <w:tabs>
                <w:tab w:val="left" w:pos="4860"/>
              </w:tabs>
              <w:ind w:left="4860" w:hanging="4860"/>
              <w:jc w:val="left"/>
              <w:rPr>
                <w:rFonts w:cs="Times New Roman"/>
                <w:szCs w:val="24"/>
              </w:rPr>
            </w:pPr>
            <w:r>
              <w:rPr>
                <w:b/>
              </w:rPr>
              <w:t>Société d’audit/Organe de révision</w:t>
            </w:r>
            <w:bookmarkStart w:id="0" w:name="_Ref425173448"/>
            <w:r w:rsidRPr="007C33AE">
              <w:rPr>
                <w:rStyle w:val="Funotenzeichen"/>
                <w:b/>
                <w:szCs w:val="24"/>
                <w:lang w:val="fr-FR"/>
              </w:rPr>
              <w:footnoteReference w:id="6"/>
            </w:r>
            <w:bookmarkEnd w:id="0"/>
            <w:r>
              <w:tab/>
            </w:r>
            <w:r w:rsidRPr="009E45AE">
              <w:rPr>
                <w:color w:val="FF0000"/>
              </w:rPr>
              <w:t>[Nom, etc.]</w:t>
            </w:r>
          </w:p>
          <w:p w14:paraId="523A1D58" w14:textId="77777777" w:rsidR="00E7533F" w:rsidRPr="007C33AE" w:rsidRDefault="00E7533F" w:rsidP="00E7533F">
            <w:pPr>
              <w:jc w:val="left"/>
              <w:rPr>
                <w:rFonts w:cs="Times New Roman"/>
                <w:szCs w:val="24"/>
                <w:lang w:val="fr-FR"/>
              </w:rPr>
            </w:pPr>
          </w:p>
        </w:tc>
      </w:tr>
      <w:tr w:rsidR="00E7533F" w:rsidRPr="006C3A4D" w14:paraId="6895D5B7" w14:textId="77777777" w:rsidTr="009E45AE">
        <w:tc>
          <w:tcPr>
            <w:tcW w:w="9828" w:type="dxa"/>
          </w:tcPr>
          <w:p w14:paraId="40FA9794" w14:textId="77777777" w:rsidR="00E7533F" w:rsidRPr="00434D04" w:rsidRDefault="00E7533F" w:rsidP="00434D04">
            <w:pPr>
              <w:tabs>
                <w:tab w:val="left" w:pos="4860"/>
                <w:tab w:val="left" w:pos="5103"/>
              </w:tabs>
              <w:ind w:left="5103" w:hanging="5103"/>
              <w:jc w:val="left"/>
              <w:rPr>
                <w:rFonts w:cs="Times New Roman"/>
                <w:szCs w:val="24"/>
                <w:lang w:val="fr-FR"/>
              </w:rPr>
            </w:pPr>
          </w:p>
        </w:tc>
      </w:tr>
      <w:tr w:rsidR="00E7533F" w:rsidRPr="003A5A1F" w14:paraId="4C9EDDC0" w14:textId="77777777" w:rsidTr="009E45AE">
        <w:tc>
          <w:tcPr>
            <w:tcW w:w="9828" w:type="dxa"/>
          </w:tcPr>
          <w:p w14:paraId="5734BC39" w14:textId="77777777" w:rsidR="00E7533F" w:rsidRPr="007C33AE" w:rsidRDefault="00E7533F" w:rsidP="00E7533F">
            <w:pPr>
              <w:tabs>
                <w:tab w:val="left" w:pos="4860"/>
              </w:tabs>
              <w:ind w:left="4860" w:hanging="4860"/>
              <w:jc w:val="left"/>
              <w:rPr>
                <w:rFonts w:cs="Times New Roman"/>
                <w:szCs w:val="24"/>
              </w:rPr>
            </w:pPr>
            <w:r>
              <w:rPr>
                <w:b/>
              </w:rPr>
              <w:t>Durée</w:t>
            </w:r>
            <w:r>
              <w:tab/>
            </w:r>
            <w:r w:rsidRPr="009E45AE">
              <w:rPr>
                <w:color w:val="FF0000"/>
              </w:rPr>
              <w:t>[…]</w:t>
            </w:r>
          </w:p>
          <w:p w14:paraId="1D25C262" w14:textId="77777777" w:rsidR="00E7533F" w:rsidRPr="007C33AE" w:rsidRDefault="00E7533F" w:rsidP="00E7533F">
            <w:pPr>
              <w:jc w:val="left"/>
              <w:rPr>
                <w:rFonts w:cs="Times New Roman"/>
                <w:szCs w:val="24"/>
                <w:lang w:val="fr-FR"/>
              </w:rPr>
            </w:pPr>
          </w:p>
        </w:tc>
      </w:tr>
      <w:tr w:rsidR="00E7533F" w:rsidRPr="00A93B5B" w14:paraId="485C0A7B" w14:textId="77777777" w:rsidTr="009E45AE">
        <w:tc>
          <w:tcPr>
            <w:tcW w:w="9828" w:type="dxa"/>
          </w:tcPr>
          <w:p w14:paraId="05ADF8C7" w14:textId="77777777" w:rsidR="00E7533F" w:rsidRPr="007C33AE" w:rsidRDefault="00E7533F" w:rsidP="00E7533F">
            <w:pPr>
              <w:tabs>
                <w:tab w:val="left" w:pos="4860"/>
              </w:tabs>
              <w:ind w:left="4860" w:hanging="4860"/>
              <w:jc w:val="left"/>
              <w:rPr>
                <w:rFonts w:cs="Times New Roman"/>
                <w:szCs w:val="24"/>
              </w:rPr>
            </w:pPr>
            <w:proofErr w:type="gramStart"/>
            <w:r>
              <w:rPr>
                <w:b/>
              </w:rPr>
              <w:t>Commanditaires;</w:t>
            </w:r>
            <w:proofErr w:type="gramEnd"/>
            <w:r>
              <w:rPr>
                <w:b/>
              </w:rPr>
              <w:t xml:space="preserve"> souscription</w:t>
            </w:r>
            <w:r>
              <w:rPr>
                <w:b/>
              </w:rPr>
              <w:tab/>
            </w:r>
            <w:r>
              <w:t>Investisseurs qualifiés, limitations (US Investors, etc.)</w:t>
            </w:r>
          </w:p>
          <w:p w14:paraId="7E2D9E97" w14:textId="77777777" w:rsidR="00E7533F" w:rsidRPr="007C33AE" w:rsidRDefault="00E7533F" w:rsidP="00E7533F">
            <w:pPr>
              <w:tabs>
                <w:tab w:val="left" w:pos="4860"/>
              </w:tabs>
              <w:ind w:left="4860" w:hanging="4860"/>
              <w:jc w:val="left"/>
              <w:rPr>
                <w:rFonts w:cs="Times New Roman"/>
                <w:szCs w:val="24"/>
              </w:rPr>
            </w:pPr>
            <w:r>
              <w:tab/>
              <w:t xml:space="preserve">Principales modalités de </w:t>
            </w:r>
            <w:proofErr w:type="gramStart"/>
            <w:r>
              <w:t>souscription:</w:t>
            </w:r>
            <w:proofErr w:type="gramEnd"/>
          </w:p>
          <w:p w14:paraId="3729FED1" w14:textId="77777777" w:rsidR="00E7533F" w:rsidRPr="007C33AE" w:rsidRDefault="00E7533F" w:rsidP="00E7533F">
            <w:pPr>
              <w:tabs>
                <w:tab w:val="left" w:pos="4860"/>
                <w:tab w:val="left" w:pos="5103"/>
              </w:tabs>
              <w:ind w:left="5103" w:hanging="5103"/>
              <w:jc w:val="left"/>
              <w:rPr>
                <w:rFonts w:cs="Times New Roman"/>
                <w:szCs w:val="24"/>
              </w:rPr>
            </w:pPr>
            <w:r>
              <w:tab/>
            </w:r>
            <w:r>
              <w:sym w:font="Wingdings" w:char="F09F"/>
            </w:r>
            <w:r>
              <w:tab/>
              <w:t xml:space="preserve">Délai de </w:t>
            </w:r>
            <w:proofErr w:type="gramStart"/>
            <w:r>
              <w:t>souscription:</w:t>
            </w:r>
            <w:proofErr w:type="gramEnd"/>
            <w:r>
              <w:t xml:space="preserve"> </w:t>
            </w:r>
            <w:r w:rsidRPr="009E45AE">
              <w:rPr>
                <w:color w:val="FF0000"/>
              </w:rPr>
              <w:t xml:space="preserve">[première et seconde] </w:t>
            </w:r>
            <w:r>
              <w:t>clôture de la période de souscription</w:t>
            </w:r>
          </w:p>
          <w:p w14:paraId="61216A6C" w14:textId="4C73D1D8" w:rsidR="00E7533F" w:rsidRDefault="00E7533F" w:rsidP="00E7533F">
            <w:pPr>
              <w:tabs>
                <w:tab w:val="left" w:pos="4860"/>
                <w:tab w:val="left" w:pos="5103"/>
              </w:tabs>
              <w:ind w:left="5103" w:hanging="5103"/>
              <w:jc w:val="left"/>
              <w:rPr>
                <w:rFonts w:cs="Times New Roman"/>
                <w:szCs w:val="24"/>
              </w:rPr>
            </w:pPr>
            <w:r>
              <w:tab/>
            </w:r>
            <w:r>
              <w:sym w:font="Wingdings" w:char="F09F"/>
            </w:r>
            <w:r>
              <w:tab/>
              <w:t xml:space="preserve">Souscription </w:t>
            </w:r>
            <w:proofErr w:type="gramStart"/>
            <w:r>
              <w:t>minimale:</w:t>
            </w:r>
            <w:proofErr w:type="gramEnd"/>
            <w:r>
              <w:t xml:space="preserve"> investisseurs institutionnels / investisseurs privés</w:t>
            </w:r>
          </w:p>
          <w:p w14:paraId="53E161B7" w14:textId="77777777" w:rsidR="00E7533F" w:rsidRPr="009E45AE" w:rsidRDefault="00E7533F" w:rsidP="00D64E84">
            <w:pPr>
              <w:numPr>
                <w:ilvl w:val="0"/>
                <w:numId w:val="9"/>
              </w:numPr>
              <w:tabs>
                <w:tab w:val="left" w:pos="4860"/>
                <w:tab w:val="left" w:pos="5103"/>
              </w:tabs>
              <w:jc w:val="left"/>
              <w:rPr>
                <w:rFonts w:cs="Times New Roman"/>
                <w:szCs w:val="24"/>
              </w:rPr>
            </w:pPr>
            <w:r w:rsidRPr="009E45AE">
              <w:t>Phase d’Investissement</w:t>
            </w:r>
          </w:p>
          <w:p w14:paraId="124637E5" w14:textId="77777777" w:rsidR="00E7533F" w:rsidRPr="007C33AE" w:rsidRDefault="00E7533F" w:rsidP="00E7533F">
            <w:pPr>
              <w:tabs>
                <w:tab w:val="left" w:pos="4860"/>
                <w:tab w:val="left" w:pos="5103"/>
              </w:tabs>
              <w:ind w:left="5103" w:hanging="5103"/>
              <w:jc w:val="left"/>
              <w:rPr>
                <w:rFonts w:cs="Times New Roman"/>
                <w:szCs w:val="24"/>
                <w:lang w:val="fr-FR"/>
              </w:rPr>
            </w:pPr>
          </w:p>
          <w:p w14:paraId="59FC8A8C" w14:textId="77777777" w:rsidR="00E7533F" w:rsidRPr="007C33AE" w:rsidRDefault="00E7533F" w:rsidP="00E7533F">
            <w:pPr>
              <w:tabs>
                <w:tab w:val="left" w:pos="4860"/>
                <w:tab w:val="left" w:pos="5103"/>
              </w:tabs>
              <w:ind w:left="5103" w:hanging="5103"/>
              <w:jc w:val="left"/>
              <w:rPr>
                <w:rFonts w:cs="Times New Roman"/>
                <w:szCs w:val="24"/>
                <w:lang w:val="fr-FR"/>
              </w:rPr>
            </w:pPr>
          </w:p>
        </w:tc>
      </w:tr>
      <w:tr w:rsidR="00E7533F" w:rsidRPr="00B52BA6" w14:paraId="0168D541" w14:textId="77777777" w:rsidTr="009E45AE">
        <w:tc>
          <w:tcPr>
            <w:tcW w:w="9828" w:type="dxa"/>
          </w:tcPr>
          <w:p w14:paraId="0E0AE08F" w14:textId="7737D652" w:rsidR="00E7533F" w:rsidRPr="007C33AE" w:rsidRDefault="00E7533F" w:rsidP="00E7533F">
            <w:pPr>
              <w:tabs>
                <w:tab w:val="left" w:pos="4860"/>
                <w:tab w:val="left" w:pos="5103"/>
              </w:tabs>
              <w:ind w:left="5103" w:hanging="5103"/>
              <w:jc w:val="left"/>
              <w:rPr>
                <w:rFonts w:cs="Times New Roman"/>
                <w:szCs w:val="24"/>
              </w:rPr>
            </w:pPr>
            <w:r>
              <w:rPr>
                <w:b/>
              </w:rPr>
              <w:t>Rapports</w:t>
            </w:r>
            <w:r>
              <w:rPr>
                <w:b/>
              </w:rPr>
              <w:tab/>
            </w:r>
            <w:r>
              <w:sym w:font="Wingdings" w:char="F09F"/>
            </w:r>
            <w:r w:rsidR="00434D04">
              <w:tab/>
            </w:r>
            <w:r>
              <w:t>Évaluation, reporting, assemblées générales</w:t>
            </w:r>
          </w:p>
          <w:p w14:paraId="5255998D" w14:textId="77777777" w:rsidR="00E7533F" w:rsidRPr="00272362" w:rsidRDefault="00E7533F" w:rsidP="00E7533F">
            <w:pPr>
              <w:tabs>
                <w:tab w:val="left" w:pos="4860"/>
                <w:tab w:val="left" w:pos="5103"/>
              </w:tabs>
              <w:ind w:left="5103" w:hanging="5103"/>
              <w:jc w:val="left"/>
              <w:rPr>
                <w:rFonts w:cs="Times New Roman"/>
                <w:szCs w:val="24"/>
                <w:lang w:val="en-US"/>
              </w:rPr>
            </w:pPr>
            <w:r w:rsidRPr="00D77057">
              <w:rPr>
                <w:lang w:val="en-US"/>
              </w:rPr>
              <w:tab/>
            </w:r>
            <w:r>
              <w:sym w:font="Wingdings" w:char="F09F"/>
            </w:r>
            <w:r w:rsidRPr="00272362">
              <w:rPr>
                <w:lang w:val="en-US"/>
              </w:rPr>
              <w:tab/>
              <w:t>Corporate governance: SECA Code of Conduct</w:t>
            </w:r>
          </w:p>
          <w:p w14:paraId="38F09AA1" w14:textId="77777777" w:rsidR="00E7533F" w:rsidRPr="00272362" w:rsidRDefault="00E7533F" w:rsidP="00E7533F">
            <w:pPr>
              <w:tabs>
                <w:tab w:val="left" w:pos="4860"/>
                <w:tab w:val="left" w:pos="5103"/>
              </w:tabs>
              <w:ind w:left="5103" w:hanging="5103"/>
              <w:jc w:val="left"/>
              <w:rPr>
                <w:rFonts w:cs="Times New Roman"/>
                <w:szCs w:val="24"/>
                <w:lang w:val="en-US"/>
              </w:rPr>
            </w:pPr>
          </w:p>
        </w:tc>
      </w:tr>
      <w:tr w:rsidR="00E7533F" w:rsidRPr="003A5A1F" w14:paraId="32546DCE" w14:textId="77777777" w:rsidTr="009E45AE">
        <w:tc>
          <w:tcPr>
            <w:tcW w:w="9828" w:type="dxa"/>
          </w:tcPr>
          <w:p w14:paraId="2DC9CC05" w14:textId="77777777" w:rsidR="00E7533F" w:rsidRPr="007C33AE" w:rsidRDefault="00E7533F" w:rsidP="00E7533F">
            <w:pPr>
              <w:tabs>
                <w:tab w:val="left" w:pos="4860"/>
                <w:tab w:val="left" w:pos="5103"/>
              </w:tabs>
              <w:ind w:left="5103" w:hanging="5103"/>
              <w:jc w:val="left"/>
              <w:rPr>
                <w:rFonts w:cs="Times New Roman"/>
                <w:szCs w:val="24"/>
              </w:rPr>
            </w:pPr>
            <w:r>
              <w:rPr>
                <w:b/>
              </w:rPr>
              <w:t>Autres indications</w:t>
            </w:r>
            <w:r>
              <w:tab/>
            </w:r>
            <w:r>
              <w:sym w:font="Wingdings" w:char="F09F"/>
            </w:r>
            <w:r>
              <w:tab/>
              <w:t>Aperçu des coûts</w:t>
            </w:r>
          </w:p>
          <w:p w14:paraId="31A4B881" w14:textId="77777777" w:rsidR="00E7533F" w:rsidRPr="007C33AE" w:rsidRDefault="00E7533F" w:rsidP="00E7533F">
            <w:pPr>
              <w:tabs>
                <w:tab w:val="left" w:pos="4860"/>
                <w:tab w:val="left" w:pos="5103"/>
              </w:tabs>
              <w:ind w:left="5103" w:hanging="5103"/>
              <w:jc w:val="left"/>
              <w:rPr>
                <w:rFonts w:cs="Times New Roman"/>
                <w:szCs w:val="24"/>
              </w:rPr>
            </w:pPr>
            <w:r>
              <w:tab/>
            </w:r>
            <w:r>
              <w:sym w:font="Wingdings" w:char="F09F"/>
            </w:r>
            <w:r>
              <w:tab/>
              <w:t>Aspects fiscaux</w:t>
            </w:r>
          </w:p>
          <w:p w14:paraId="1747064B" w14:textId="77777777" w:rsidR="00E7533F" w:rsidRPr="007C33AE" w:rsidRDefault="00E7533F" w:rsidP="00E7533F">
            <w:pPr>
              <w:tabs>
                <w:tab w:val="left" w:pos="4860"/>
                <w:tab w:val="left" w:pos="5103"/>
              </w:tabs>
              <w:ind w:left="5103" w:hanging="5103"/>
              <w:jc w:val="left"/>
              <w:rPr>
                <w:rFonts w:cs="Times New Roman"/>
                <w:szCs w:val="24"/>
              </w:rPr>
            </w:pPr>
            <w:r>
              <w:tab/>
            </w:r>
            <w:r>
              <w:sym w:font="Wingdings" w:char="F09F"/>
            </w:r>
            <w:r>
              <w:tab/>
              <w:t>Co-Investments</w:t>
            </w:r>
          </w:p>
          <w:p w14:paraId="1AC929C7" w14:textId="77777777" w:rsidR="00E7533F" w:rsidRPr="007C33AE" w:rsidRDefault="00E7533F" w:rsidP="00E7533F">
            <w:pPr>
              <w:tabs>
                <w:tab w:val="left" w:pos="4860"/>
                <w:tab w:val="left" w:pos="5103"/>
              </w:tabs>
              <w:ind w:left="5103" w:hanging="5103"/>
              <w:jc w:val="left"/>
              <w:rPr>
                <w:rFonts w:cs="Times New Roman"/>
                <w:szCs w:val="24"/>
                <w:lang w:val="fr-FR"/>
              </w:rPr>
            </w:pPr>
          </w:p>
        </w:tc>
      </w:tr>
      <w:tr w:rsidR="00E7533F" w:rsidRPr="006C3A4D" w14:paraId="6DC83EE8" w14:textId="77777777" w:rsidTr="009E45AE">
        <w:tc>
          <w:tcPr>
            <w:tcW w:w="9828" w:type="dxa"/>
          </w:tcPr>
          <w:p w14:paraId="6C054400" w14:textId="77777777" w:rsidR="00E7533F" w:rsidRPr="009E45AE" w:rsidRDefault="00E7533F" w:rsidP="00E7533F">
            <w:pPr>
              <w:tabs>
                <w:tab w:val="left" w:pos="4860"/>
              </w:tabs>
              <w:ind w:left="4860" w:hanging="4860"/>
              <w:jc w:val="left"/>
              <w:rPr>
                <w:rFonts w:cs="Times New Roman"/>
                <w:color w:val="FF0000"/>
                <w:szCs w:val="24"/>
              </w:rPr>
            </w:pPr>
            <w:r w:rsidRPr="009E45AE">
              <w:rPr>
                <w:b/>
                <w:color w:val="FF0000"/>
              </w:rPr>
              <w:t>[Glossaire]</w:t>
            </w:r>
            <w:r w:rsidRPr="009E45AE">
              <w:rPr>
                <w:color w:val="FF0000"/>
              </w:rPr>
              <w:tab/>
              <w:t>[terminologie consacrée dans le domaine du Private Equity]</w:t>
            </w:r>
          </w:p>
          <w:p w14:paraId="210E9320" w14:textId="77777777" w:rsidR="00E7533F" w:rsidRPr="007C33AE" w:rsidRDefault="00E7533F" w:rsidP="00E7533F">
            <w:pPr>
              <w:tabs>
                <w:tab w:val="left" w:pos="4860"/>
                <w:tab w:val="left" w:pos="5103"/>
              </w:tabs>
              <w:ind w:left="5103" w:hanging="5103"/>
              <w:jc w:val="left"/>
              <w:rPr>
                <w:rFonts w:cs="Times New Roman"/>
                <w:szCs w:val="24"/>
                <w:lang w:val="fr-FR"/>
              </w:rPr>
            </w:pPr>
          </w:p>
          <w:p w14:paraId="472EE9B2" w14:textId="77777777" w:rsidR="00E7533F" w:rsidRPr="007C33AE" w:rsidRDefault="00E7533F" w:rsidP="00E7533F">
            <w:pPr>
              <w:tabs>
                <w:tab w:val="left" w:pos="4860"/>
                <w:tab w:val="left" w:pos="5103"/>
              </w:tabs>
              <w:ind w:left="5103" w:hanging="5103"/>
              <w:jc w:val="left"/>
              <w:rPr>
                <w:rFonts w:cs="Times New Roman"/>
                <w:szCs w:val="24"/>
                <w:lang w:val="fr-FR"/>
              </w:rPr>
            </w:pPr>
          </w:p>
        </w:tc>
      </w:tr>
    </w:tbl>
    <w:p w14:paraId="3622440A" w14:textId="33974821" w:rsidR="003566FC" w:rsidRPr="007C33AE" w:rsidRDefault="003566FC">
      <w:pPr>
        <w:tabs>
          <w:tab w:val="right" w:pos="9540"/>
        </w:tabs>
        <w:rPr>
          <w:rFonts w:cs="Times New Roman"/>
          <w:szCs w:val="24"/>
        </w:rPr>
      </w:pPr>
      <w:r>
        <w:br w:type="page"/>
      </w:r>
      <w:r>
        <w:lastRenderedPageBreak/>
        <w:tab/>
      </w:r>
      <w:r>
        <w:rPr>
          <w:rStyle w:val="AuswahltextZchn"/>
        </w:rPr>
        <w:t>[</w:t>
      </w:r>
      <w:r>
        <w:rPr>
          <w:rStyle w:val="AuswahltextZchn"/>
          <w:highlight w:val="yellow"/>
        </w:rPr>
        <w:t>…</w:t>
      </w:r>
      <w:r>
        <w:rPr>
          <w:rStyle w:val="AuswahltextZchn"/>
        </w:rPr>
        <w:t>]</w:t>
      </w:r>
      <w:r>
        <w:t xml:space="preserve"> pour données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7"/>
      </w:tblGrid>
      <w:tr w:rsidR="003566FC" w:rsidRPr="003A5A1F" w14:paraId="73A371B7" w14:textId="77777777" w:rsidTr="001802F1">
        <w:tc>
          <w:tcPr>
            <w:tcW w:w="9777" w:type="dxa"/>
            <w:tcMar>
              <w:left w:w="108" w:type="dxa"/>
              <w:right w:w="108" w:type="dxa"/>
            </w:tcMar>
          </w:tcPr>
          <w:p w14:paraId="5B9913EA" w14:textId="77777777" w:rsidR="003566FC" w:rsidRPr="007C33AE" w:rsidRDefault="003566FC">
            <w:pPr>
              <w:rPr>
                <w:rFonts w:cs="Times New Roman"/>
                <w:szCs w:val="24"/>
                <w:lang w:val="fr-FR"/>
              </w:rPr>
            </w:pPr>
          </w:p>
          <w:p w14:paraId="1A9DE182" w14:textId="77777777" w:rsidR="003566FC" w:rsidRPr="007C33AE" w:rsidRDefault="004E3023" w:rsidP="001802F1">
            <w:pPr>
              <w:jc w:val="center"/>
              <w:rPr>
                <w:rFonts w:cs="Times New Roman"/>
                <w:b/>
                <w:sz w:val="32"/>
                <w:szCs w:val="24"/>
              </w:rPr>
            </w:pPr>
            <w:r>
              <w:rPr>
                <w:b/>
                <w:sz w:val="32"/>
              </w:rPr>
              <w:t>Modèle de contrat de société pour société en commandite de placements collectifs</w:t>
            </w:r>
          </w:p>
          <w:p w14:paraId="35E1087A" w14:textId="77777777" w:rsidR="003566FC" w:rsidRPr="007C33AE" w:rsidRDefault="003566FC" w:rsidP="003C306B">
            <w:pPr>
              <w:spacing w:before="80" w:after="80"/>
              <w:jc w:val="center"/>
              <w:rPr>
                <w:rFonts w:cs="Times New Roman"/>
                <w:sz w:val="24"/>
                <w:szCs w:val="24"/>
              </w:rPr>
            </w:pPr>
            <w:proofErr w:type="gramStart"/>
            <w:r>
              <w:rPr>
                <w:sz w:val="24"/>
              </w:rPr>
              <w:t>entre</w:t>
            </w:r>
            <w:proofErr w:type="gramEnd"/>
          </w:p>
          <w:p w14:paraId="150EF867" w14:textId="4C6675BB" w:rsidR="003566FC" w:rsidRPr="007C33AE" w:rsidRDefault="003566FC" w:rsidP="001802F1">
            <w:pPr>
              <w:jc w:val="center"/>
              <w:rPr>
                <w:rFonts w:cs="Times New Roman"/>
                <w:sz w:val="24"/>
                <w:szCs w:val="24"/>
              </w:rPr>
            </w:pPr>
            <w:r>
              <w:rPr>
                <w:rStyle w:val="AuswahltextZchn"/>
                <w:sz w:val="24"/>
              </w:rPr>
              <w:t>[</w:t>
            </w:r>
            <w:proofErr w:type="gramStart"/>
            <w:r>
              <w:rPr>
                <w:rStyle w:val="AuswahltextZchn"/>
                <w:sz w:val="24"/>
                <w:highlight w:val="yellow"/>
              </w:rPr>
              <w:t>raison</w:t>
            </w:r>
            <w:proofErr w:type="gramEnd"/>
            <w:r>
              <w:rPr>
                <w:rStyle w:val="AuswahltextZchn"/>
                <w:sz w:val="24"/>
                <w:highlight w:val="yellow"/>
              </w:rPr>
              <w:t xml:space="preserve"> sociale de la SA agissant en qualité d’associée indéfiniment responsable</w:t>
            </w:r>
            <w:r>
              <w:rPr>
                <w:rStyle w:val="AuswahltextZchn"/>
                <w:sz w:val="24"/>
              </w:rPr>
              <w:t>]</w:t>
            </w:r>
            <w:r>
              <w:rPr>
                <w:sz w:val="24"/>
              </w:rPr>
              <w:t>,</w:t>
            </w:r>
            <w:r>
              <w:rPr>
                <w:sz w:val="24"/>
              </w:rPr>
              <w:br/>
            </w:r>
            <w:r>
              <w:rPr>
                <w:rStyle w:val="AuswahltextZchn"/>
                <w:sz w:val="24"/>
                <w:highlight w:val="yellow"/>
              </w:rPr>
              <w:t>[</w:t>
            </w:r>
            <w:r>
              <w:rPr>
                <w:rStyle w:val="AuswahltextZchn"/>
                <w:sz w:val="24"/>
              </w:rPr>
              <w:t>][</w:t>
            </w:r>
            <w:r w:rsidR="00434D04">
              <w:rPr>
                <w:rStyle w:val="AuswahltextZchn"/>
                <w:sz w:val="24"/>
                <w:highlight w:val="yellow"/>
              </w:rPr>
              <w:t>siège</w:t>
            </w:r>
            <w:r>
              <w:rPr>
                <w:rStyle w:val="AuswahltextZchn"/>
                <w:sz w:val="24"/>
              </w:rPr>
              <w:t>]</w:t>
            </w:r>
            <w:r>
              <w:rPr>
                <w:sz w:val="24"/>
              </w:rPr>
              <w:t>, comme associé indéfiniment responsable</w:t>
            </w:r>
          </w:p>
          <w:p w14:paraId="7A5C5737" w14:textId="77777777" w:rsidR="003566FC" w:rsidRPr="007C33AE" w:rsidRDefault="003566FC" w:rsidP="001802F1">
            <w:pPr>
              <w:tabs>
                <w:tab w:val="right" w:pos="9540"/>
              </w:tabs>
              <w:rPr>
                <w:rFonts w:cs="Times New Roman"/>
                <w:sz w:val="24"/>
                <w:szCs w:val="24"/>
              </w:rPr>
            </w:pPr>
            <w:r>
              <w:rPr>
                <w:sz w:val="24"/>
              </w:rPr>
              <w:tab/>
              <w:t>(</w:t>
            </w:r>
            <w:proofErr w:type="gramStart"/>
            <w:r>
              <w:rPr>
                <w:sz w:val="24"/>
              </w:rPr>
              <w:t>ci</w:t>
            </w:r>
            <w:proofErr w:type="gramEnd"/>
            <w:r>
              <w:rPr>
                <w:sz w:val="24"/>
              </w:rPr>
              <w:t>-après la «</w:t>
            </w:r>
            <w:r>
              <w:rPr>
                <w:b/>
                <w:sz w:val="24"/>
              </w:rPr>
              <w:t>SA indéfiniment responsable</w:t>
            </w:r>
            <w:r>
              <w:rPr>
                <w:sz w:val="24"/>
              </w:rPr>
              <w:t>»)</w:t>
            </w:r>
          </w:p>
          <w:p w14:paraId="438AC3FA" w14:textId="77777777" w:rsidR="003566FC" w:rsidRPr="00C53FE5" w:rsidRDefault="003566FC" w:rsidP="004C10BF">
            <w:pPr>
              <w:tabs>
                <w:tab w:val="right" w:pos="9540"/>
              </w:tabs>
              <w:spacing w:before="100" w:after="80"/>
              <w:jc w:val="center"/>
              <w:rPr>
                <w:rFonts w:cs="Times New Roman"/>
                <w:sz w:val="24"/>
                <w:szCs w:val="24"/>
              </w:rPr>
            </w:pPr>
            <w:proofErr w:type="gramStart"/>
            <w:r>
              <w:rPr>
                <w:sz w:val="24"/>
              </w:rPr>
              <w:t>et</w:t>
            </w:r>
            <w:proofErr w:type="gramEnd"/>
          </w:p>
          <w:p w14:paraId="4991F057" w14:textId="11BF5756" w:rsidR="00E7533F" w:rsidRPr="00E7533F" w:rsidRDefault="00E7533F" w:rsidP="00E7533F">
            <w:pPr>
              <w:tabs>
                <w:tab w:val="right" w:pos="9540"/>
              </w:tabs>
              <w:jc w:val="center"/>
              <w:rPr>
                <w:rFonts w:cs="Times New Roman"/>
                <w:sz w:val="24"/>
                <w:szCs w:val="24"/>
              </w:rPr>
            </w:pPr>
            <w:proofErr w:type="gramStart"/>
            <w:r>
              <w:rPr>
                <w:sz w:val="24"/>
              </w:rPr>
              <w:t>les</w:t>
            </w:r>
            <w:proofErr w:type="gramEnd"/>
            <w:r>
              <w:rPr>
                <w:sz w:val="24"/>
              </w:rPr>
              <w:t xml:space="preserve"> Commanditaires listés dans le registre des commanditaires</w:t>
            </w:r>
          </w:p>
          <w:p w14:paraId="6D6AB6B7" w14:textId="77777777" w:rsidR="003566FC" w:rsidRPr="007C33AE" w:rsidRDefault="003566FC" w:rsidP="001802F1">
            <w:pPr>
              <w:tabs>
                <w:tab w:val="right" w:pos="9540"/>
              </w:tabs>
              <w:rPr>
                <w:rFonts w:cs="Times New Roman"/>
                <w:sz w:val="24"/>
                <w:szCs w:val="24"/>
              </w:rPr>
            </w:pPr>
            <w:r>
              <w:rPr>
                <w:sz w:val="24"/>
              </w:rPr>
              <w:tab/>
              <w:t>(</w:t>
            </w:r>
            <w:proofErr w:type="gramStart"/>
            <w:r>
              <w:rPr>
                <w:sz w:val="24"/>
              </w:rPr>
              <w:t>ci</w:t>
            </w:r>
            <w:proofErr w:type="gramEnd"/>
            <w:r>
              <w:rPr>
                <w:sz w:val="24"/>
              </w:rPr>
              <w:t>-après les «</w:t>
            </w:r>
            <w:r>
              <w:rPr>
                <w:b/>
                <w:sz w:val="24"/>
              </w:rPr>
              <w:t>Commanditaires</w:t>
            </w:r>
            <w:r>
              <w:rPr>
                <w:sz w:val="24"/>
              </w:rPr>
              <w:t>»)</w:t>
            </w:r>
          </w:p>
          <w:p w14:paraId="31F08823" w14:textId="77777777" w:rsidR="003566FC" w:rsidRPr="007C33AE" w:rsidRDefault="003566FC" w:rsidP="001802F1">
            <w:pPr>
              <w:tabs>
                <w:tab w:val="right" w:pos="9505"/>
              </w:tabs>
              <w:rPr>
                <w:rFonts w:cs="Times New Roman"/>
                <w:szCs w:val="24"/>
                <w:lang w:val="fr-FR"/>
              </w:rPr>
            </w:pPr>
          </w:p>
        </w:tc>
      </w:tr>
    </w:tbl>
    <w:p w14:paraId="604E72DD" w14:textId="77777777" w:rsidR="003566FC" w:rsidRPr="007C33AE" w:rsidRDefault="003566FC">
      <w:pPr>
        <w:rPr>
          <w:rFonts w:cs="Times New Roman"/>
          <w:szCs w:val="24"/>
          <w:lang w:val="fr-FR"/>
        </w:rPr>
      </w:pPr>
    </w:p>
    <w:p w14:paraId="3C996C04" w14:textId="77777777" w:rsidR="003566FC" w:rsidRPr="007C33AE" w:rsidRDefault="003566FC">
      <w:pPr>
        <w:rPr>
          <w:rFonts w:cs="Times New Roman"/>
          <w:szCs w:val="24"/>
          <w:lang w:val="fr-FR"/>
        </w:rPr>
      </w:pPr>
    </w:p>
    <w:p w14:paraId="64D1A639" w14:textId="77777777" w:rsidR="003566FC" w:rsidRPr="007C33AE" w:rsidRDefault="003566FC">
      <w:pPr>
        <w:rPr>
          <w:rFonts w:cs="Times New Roman"/>
          <w:szCs w:val="24"/>
          <w:lang w:val="fr-FR"/>
        </w:rPr>
      </w:pPr>
    </w:p>
    <w:p w14:paraId="59E2D191" w14:textId="77777777" w:rsidR="003566FC" w:rsidRPr="007C33AE" w:rsidRDefault="003566FC">
      <w:pPr>
        <w:rPr>
          <w:rFonts w:cs="Times New Roman"/>
          <w:b/>
          <w:sz w:val="24"/>
          <w:szCs w:val="24"/>
        </w:rPr>
      </w:pPr>
      <w:r>
        <w:rPr>
          <w:b/>
          <w:caps/>
          <w:sz w:val="24"/>
        </w:rPr>
        <w:t>Table des matières</w:t>
      </w:r>
    </w:p>
    <w:p w14:paraId="6D8E80FD" w14:textId="77777777" w:rsidR="003566FC" w:rsidRPr="007C33AE" w:rsidRDefault="003566FC">
      <w:pPr>
        <w:rPr>
          <w:rFonts w:cs="Times New Roman"/>
          <w:szCs w:val="24"/>
          <w:lang w:val="fr-FR"/>
        </w:rPr>
      </w:pPr>
    </w:p>
    <w:p w14:paraId="3535F062" w14:textId="6977CA58" w:rsidR="009E45AE" w:rsidRDefault="00CC64FC">
      <w:pPr>
        <w:pStyle w:val="Verzeichnis2"/>
        <w:rPr>
          <w:rFonts w:asciiTheme="minorHAnsi" w:eastAsiaTheme="minorEastAsia" w:hAnsiTheme="minorHAnsi" w:cstheme="minorBidi"/>
          <w:noProof/>
          <w:lang w:val="de-CH" w:eastAsia="de-CH"/>
        </w:rPr>
      </w:pPr>
      <w:r w:rsidRPr="007C33AE">
        <w:rPr>
          <w:rFonts w:cs="Times New Roman"/>
        </w:rPr>
        <w:fldChar w:fldCharType="begin"/>
      </w:r>
      <w:r w:rsidRPr="007C33AE">
        <w:rPr>
          <w:rFonts w:cs="Times New Roman"/>
        </w:rPr>
        <w:instrText xml:space="preserve"> TOC \o "1-5" \h \z \t "Titel 2;2;Titel 1;1;Style Titre 2 + Non Gras;2" </w:instrText>
      </w:r>
      <w:r w:rsidRPr="007C33AE">
        <w:rPr>
          <w:rFonts w:cs="Times New Roman"/>
        </w:rPr>
        <w:fldChar w:fldCharType="separate"/>
      </w:r>
      <w:hyperlink w:anchor="_Toc94114386" w:history="1">
        <w:r w:rsidR="009E45AE" w:rsidRPr="00744130">
          <w:rPr>
            <w:rStyle w:val="Hyperlink"/>
            <w:noProof/>
          </w:rPr>
          <w:t>Préambule</w:t>
        </w:r>
        <w:r w:rsidR="009E45AE">
          <w:rPr>
            <w:noProof/>
            <w:webHidden/>
          </w:rPr>
          <w:tab/>
        </w:r>
        <w:r w:rsidR="009E45AE">
          <w:rPr>
            <w:noProof/>
            <w:webHidden/>
          </w:rPr>
          <w:fldChar w:fldCharType="begin"/>
        </w:r>
        <w:r w:rsidR="009E45AE">
          <w:rPr>
            <w:noProof/>
            <w:webHidden/>
          </w:rPr>
          <w:instrText xml:space="preserve"> PAGEREF _Toc94114386 \h </w:instrText>
        </w:r>
        <w:r w:rsidR="009E45AE">
          <w:rPr>
            <w:noProof/>
            <w:webHidden/>
          </w:rPr>
        </w:r>
        <w:r w:rsidR="009E45AE">
          <w:rPr>
            <w:noProof/>
            <w:webHidden/>
          </w:rPr>
          <w:fldChar w:fldCharType="separate"/>
        </w:r>
        <w:r w:rsidR="00F82572">
          <w:rPr>
            <w:noProof/>
            <w:webHidden/>
          </w:rPr>
          <w:t>5</w:t>
        </w:r>
        <w:r w:rsidR="009E45AE">
          <w:rPr>
            <w:noProof/>
            <w:webHidden/>
          </w:rPr>
          <w:fldChar w:fldCharType="end"/>
        </w:r>
      </w:hyperlink>
    </w:p>
    <w:p w14:paraId="7153A642" w14:textId="2B8874C3" w:rsidR="009E45AE" w:rsidRDefault="00F82572">
      <w:pPr>
        <w:pStyle w:val="Verzeichnis2"/>
        <w:tabs>
          <w:tab w:val="left" w:pos="440"/>
        </w:tabs>
        <w:rPr>
          <w:rFonts w:asciiTheme="minorHAnsi" w:eastAsiaTheme="minorEastAsia" w:hAnsiTheme="minorHAnsi" w:cstheme="minorBidi"/>
          <w:noProof/>
          <w:lang w:val="de-CH" w:eastAsia="de-CH"/>
        </w:rPr>
      </w:pPr>
      <w:hyperlink w:anchor="_Toc94114387" w:history="1">
        <w:r w:rsidR="009E45AE" w:rsidRPr="00744130">
          <w:rPr>
            <w:rStyle w:val="Hyperlink"/>
            <w:noProof/>
          </w:rPr>
          <w:t>I</w:t>
        </w:r>
        <w:r w:rsidR="009E45AE">
          <w:rPr>
            <w:rFonts w:asciiTheme="minorHAnsi" w:eastAsiaTheme="minorEastAsia" w:hAnsiTheme="minorHAnsi" w:cstheme="minorBidi"/>
            <w:noProof/>
            <w:lang w:val="de-CH" w:eastAsia="de-CH"/>
          </w:rPr>
          <w:tab/>
        </w:r>
        <w:r w:rsidR="009E45AE" w:rsidRPr="00744130">
          <w:rPr>
            <w:rStyle w:val="Hyperlink"/>
            <w:noProof/>
          </w:rPr>
          <w:t>La société en commandite</w:t>
        </w:r>
        <w:r w:rsidR="009E45AE">
          <w:rPr>
            <w:noProof/>
            <w:webHidden/>
          </w:rPr>
          <w:tab/>
        </w:r>
        <w:r w:rsidR="009E45AE">
          <w:rPr>
            <w:noProof/>
            <w:webHidden/>
          </w:rPr>
          <w:fldChar w:fldCharType="begin"/>
        </w:r>
        <w:r w:rsidR="009E45AE">
          <w:rPr>
            <w:noProof/>
            <w:webHidden/>
          </w:rPr>
          <w:instrText xml:space="preserve"> PAGEREF _Toc94114387 \h </w:instrText>
        </w:r>
        <w:r w:rsidR="009E45AE">
          <w:rPr>
            <w:noProof/>
            <w:webHidden/>
          </w:rPr>
        </w:r>
        <w:r w:rsidR="009E45AE">
          <w:rPr>
            <w:noProof/>
            <w:webHidden/>
          </w:rPr>
          <w:fldChar w:fldCharType="separate"/>
        </w:r>
        <w:r>
          <w:rPr>
            <w:noProof/>
            <w:webHidden/>
          </w:rPr>
          <w:t>5</w:t>
        </w:r>
        <w:r w:rsidR="009E45AE">
          <w:rPr>
            <w:noProof/>
            <w:webHidden/>
          </w:rPr>
          <w:fldChar w:fldCharType="end"/>
        </w:r>
      </w:hyperlink>
    </w:p>
    <w:p w14:paraId="311E16D5" w14:textId="2F9D85FD"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88"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Raison sociale, but et organes</w:t>
        </w:r>
        <w:r w:rsidR="009E45AE">
          <w:rPr>
            <w:noProof/>
            <w:webHidden/>
          </w:rPr>
          <w:tab/>
        </w:r>
        <w:r w:rsidR="009E45AE">
          <w:rPr>
            <w:noProof/>
            <w:webHidden/>
          </w:rPr>
          <w:fldChar w:fldCharType="begin"/>
        </w:r>
        <w:r w:rsidR="009E45AE">
          <w:rPr>
            <w:noProof/>
            <w:webHidden/>
          </w:rPr>
          <w:instrText xml:space="preserve"> PAGEREF _Toc94114388 \h </w:instrText>
        </w:r>
        <w:r w:rsidR="009E45AE">
          <w:rPr>
            <w:noProof/>
            <w:webHidden/>
          </w:rPr>
        </w:r>
        <w:r w:rsidR="009E45AE">
          <w:rPr>
            <w:noProof/>
            <w:webHidden/>
          </w:rPr>
          <w:fldChar w:fldCharType="separate"/>
        </w:r>
        <w:r>
          <w:rPr>
            <w:noProof/>
            <w:webHidden/>
          </w:rPr>
          <w:t>5</w:t>
        </w:r>
        <w:r w:rsidR="009E45AE">
          <w:rPr>
            <w:noProof/>
            <w:webHidden/>
          </w:rPr>
          <w:fldChar w:fldCharType="end"/>
        </w:r>
      </w:hyperlink>
    </w:p>
    <w:p w14:paraId="6A5EAFBC" w14:textId="6BECB821"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89"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Durée</w:t>
        </w:r>
        <w:r w:rsidR="009E45AE">
          <w:rPr>
            <w:noProof/>
            <w:webHidden/>
          </w:rPr>
          <w:tab/>
        </w:r>
        <w:r w:rsidR="009E45AE">
          <w:rPr>
            <w:noProof/>
            <w:webHidden/>
          </w:rPr>
          <w:fldChar w:fldCharType="begin"/>
        </w:r>
        <w:r w:rsidR="009E45AE">
          <w:rPr>
            <w:noProof/>
            <w:webHidden/>
          </w:rPr>
          <w:instrText xml:space="preserve"> PAGEREF _Toc94114389 \h </w:instrText>
        </w:r>
        <w:r w:rsidR="009E45AE">
          <w:rPr>
            <w:noProof/>
            <w:webHidden/>
          </w:rPr>
        </w:r>
        <w:r w:rsidR="009E45AE">
          <w:rPr>
            <w:noProof/>
            <w:webHidden/>
          </w:rPr>
          <w:fldChar w:fldCharType="separate"/>
        </w:r>
        <w:r>
          <w:rPr>
            <w:noProof/>
            <w:webHidden/>
          </w:rPr>
          <w:t>6</w:t>
        </w:r>
        <w:r w:rsidR="009E45AE">
          <w:rPr>
            <w:noProof/>
            <w:webHidden/>
          </w:rPr>
          <w:fldChar w:fldCharType="end"/>
        </w:r>
      </w:hyperlink>
    </w:p>
    <w:p w14:paraId="4D88AEA4" w14:textId="62481669" w:rsidR="009E45AE" w:rsidRDefault="00F82572">
      <w:pPr>
        <w:pStyle w:val="Verzeichnis2"/>
        <w:tabs>
          <w:tab w:val="left" w:pos="440"/>
        </w:tabs>
        <w:rPr>
          <w:rFonts w:asciiTheme="minorHAnsi" w:eastAsiaTheme="minorEastAsia" w:hAnsiTheme="minorHAnsi" w:cstheme="minorBidi"/>
          <w:noProof/>
          <w:lang w:val="de-CH" w:eastAsia="de-CH"/>
        </w:rPr>
      </w:pPr>
      <w:hyperlink w:anchor="_Toc94114390" w:history="1">
        <w:r w:rsidR="009E45AE" w:rsidRPr="00744130">
          <w:rPr>
            <w:rStyle w:val="Hyperlink"/>
            <w:noProof/>
          </w:rPr>
          <w:t>II</w:t>
        </w:r>
        <w:r w:rsidR="009E45AE">
          <w:rPr>
            <w:rFonts w:asciiTheme="minorHAnsi" w:eastAsiaTheme="minorEastAsia" w:hAnsiTheme="minorHAnsi" w:cstheme="minorBidi"/>
            <w:noProof/>
            <w:lang w:val="de-CH" w:eastAsia="de-CH"/>
          </w:rPr>
          <w:tab/>
        </w:r>
        <w:r w:rsidR="009E45AE" w:rsidRPr="00744130">
          <w:rPr>
            <w:rStyle w:val="Hyperlink"/>
            <w:noProof/>
          </w:rPr>
          <w:t>Capital</w:t>
        </w:r>
        <w:r w:rsidR="009E45AE">
          <w:rPr>
            <w:noProof/>
            <w:webHidden/>
          </w:rPr>
          <w:tab/>
        </w:r>
        <w:r w:rsidR="009E45AE">
          <w:rPr>
            <w:noProof/>
            <w:webHidden/>
          </w:rPr>
          <w:fldChar w:fldCharType="begin"/>
        </w:r>
        <w:r w:rsidR="009E45AE">
          <w:rPr>
            <w:noProof/>
            <w:webHidden/>
          </w:rPr>
          <w:instrText xml:space="preserve"> PAGEREF _Toc94114390 \h </w:instrText>
        </w:r>
        <w:r w:rsidR="009E45AE">
          <w:rPr>
            <w:noProof/>
            <w:webHidden/>
          </w:rPr>
        </w:r>
        <w:r w:rsidR="009E45AE">
          <w:rPr>
            <w:noProof/>
            <w:webHidden/>
          </w:rPr>
          <w:fldChar w:fldCharType="separate"/>
        </w:r>
        <w:r>
          <w:rPr>
            <w:noProof/>
            <w:webHidden/>
          </w:rPr>
          <w:t>6</w:t>
        </w:r>
        <w:r w:rsidR="009E45AE">
          <w:rPr>
            <w:noProof/>
            <w:webHidden/>
          </w:rPr>
          <w:fldChar w:fldCharType="end"/>
        </w:r>
      </w:hyperlink>
    </w:p>
    <w:p w14:paraId="0FA0A046" w14:textId="00A96F4A"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1"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Commandite</w:t>
        </w:r>
        <w:r w:rsidR="009E45AE">
          <w:rPr>
            <w:noProof/>
            <w:webHidden/>
          </w:rPr>
          <w:tab/>
        </w:r>
        <w:r w:rsidR="009E45AE">
          <w:rPr>
            <w:noProof/>
            <w:webHidden/>
          </w:rPr>
          <w:fldChar w:fldCharType="begin"/>
        </w:r>
        <w:r w:rsidR="009E45AE">
          <w:rPr>
            <w:noProof/>
            <w:webHidden/>
          </w:rPr>
          <w:instrText xml:space="preserve"> PAGEREF _Toc94114391 \h </w:instrText>
        </w:r>
        <w:r w:rsidR="009E45AE">
          <w:rPr>
            <w:noProof/>
            <w:webHidden/>
          </w:rPr>
        </w:r>
        <w:r w:rsidR="009E45AE">
          <w:rPr>
            <w:noProof/>
            <w:webHidden/>
          </w:rPr>
          <w:fldChar w:fldCharType="separate"/>
        </w:r>
        <w:r>
          <w:rPr>
            <w:noProof/>
            <w:webHidden/>
          </w:rPr>
          <w:t>6</w:t>
        </w:r>
        <w:r w:rsidR="009E45AE">
          <w:rPr>
            <w:noProof/>
            <w:webHidden/>
          </w:rPr>
          <w:fldChar w:fldCharType="end"/>
        </w:r>
      </w:hyperlink>
    </w:p>
    <w:p w14:paraId="203156FA" w14:textId="69206ACB"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2"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Fonds Propres Supplémentaires</w:t>
        </w:r>
        <w:r w:rsidR="009E45AE">
          <w:rPr>
            <w:noProof/>
            <w:webHidden/>
          </w:rPr>
          <w:tab/>
        </w:r>
        <w:r w:rsidR="009E45AE">
          <w:rPr>
            <w:noProof/>
            <w:webHidden/>
          </w:rPr>
          <w:fldChar w:fldCharType="begin"/>
        </w:r>
        <w:r w:rsidR="009E45AE">
          <w:rPr>
            <w:noProof/>
            <w:webHidden/>
          </w:rPr>
          <w:instrText xml:space="preserve"> PAGEREF _Toc94114392 \h </w:instrText>
        </w:r>
        <w:r w:rsidR="009E45AE">
          <w:rPr>
            <w:noProof/>
            <w:webHidden/>
          </w:rPr>
        </w:r>
        <w:r w:rsidR="009E45AE">
          <w:rPr>
            <w:noProof/>
            <w:webHidden/>
          </w:rPr>
          <w:fldChar w:fldCharType="separate"/>
        </w:r>
        <w:r>
          <w:rPr>
            <w:noProof/>
            <w:webHidden/>
          </w:rPr>
          <w:t>6</w:t>
        </w:r>
        <w:r w:rsidR="009E45AE">
          <w:rPr>
            <w:noProof/>
            <w:webHidden/>
          </w:rPr>
          <w:fldChar w:fldCharType="end"/>
        </w:r>
      </w:hyperlink>
    </w:p>
    <w:p w14:paraId="1FE27B7B" w14:textId="78F06792"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3" w:history="1">
        <w:r w:rsidR="009E45AE" w:rsidRPr="00744130">
          <w:rPr>
            <w:rStyle w:val="Hyperlink"/>
            <w:noProof/>
          </w:rPr>
          <w:t>C</w:t>
        </w:r>
        <w:r w:rsidR="009E45AE">
          <w:rPr>
            <w:rFonts w:asciiTheme="minorHAnsi" w:eastAsiaTheme="minorEastAsia" w:hAnsiTheme="minorHAnsi" w:cstheme="minorBidi"/>
            <w:noProof/>
            <w:lang w:val="de-CH" w:eastAsia="de-CH"/>
          </w:rPr>
          <w:tab/>
        </w:r>
        <w:r w:rsidR="009E45AE" w:rsidRPr="00744130">
          <w:rPr>
            <w:rStyle w:val="Hyperlink"/>
            <w:noProof/>
          </w:rPr>
          <w:t>Souscription</w:t>
        </w:r>
        <w:r w:rsidR="009E45AE">
          <w:rPr>
            <w:noProof/>
            <w:webHidden/>
          </w:rPr>
          <w:tab/>
        </w:r>
        <w:r w:rsidR="009E45AE">
          <w:rPr>
            <w:noProof/>
            <w:webHidden/>
          </w:rPr>
          <w:fldChar w:fldCharType="begin"/>
        </w:r>
        <w:r w:rsidR="009E45AE">
          <w:rPr>
            <w:noProof/>
            <w:webHidden/>
          </w:rPr>
          <w:instrText xml:space="preserve"> PAGEREF _Toc94114393 \h </w:instrText>
        </w:r>
        <w:r w:rsidR="009E45AE">
          <w:rPr>
            <w:noProof/>
            <w:webHidden/>
          </w:rPr>
        </w:r>
        <w:r w:rsidR="009E45AE">
          <w:rPr>
            <w:noProof/>
            <w:webHidden/>
          </w:rPr>
          <w:fldChar w:fldCharType="separate"/>
        </w:r>
        <w:r>
          <w:rPr>
            <w:noProof/>
            <w:webHidden/>
          </w:rPr>
          <w:t>8</w:t>
        </w:r>
        <w:r w:rsidR="009E45AE">
          <w:rPr>
            <w:noProof/>
            <w:webHidden/>
          </w:rPr>
          <w:fldChar w:fldCharType="end"/>
        </w:r>
      </w:hyperlink>
    </w:p>
    <w:p w14:paraId="4EA7DC2C" w14:textId="6AD49C38" w:rsidR="009E45AE" w:rsidRDefault="00F82572">
      <w:pPr>
        <w:pStyle w:val="Verzeichnis2"/>
        <w:tabs>
          <w:tab w:val="left" w:pos="440"/>
        </w:tabs>
        <w:rPr>
          <w:rFonts w:asciiTheme="minorHAnsi" w:eastAsiaTheme="minorEastAsia" w:hAnsiTheme="minorHAnsi" w:cstheme="minorBidi"/>
          <w:noProof/>
          <w:lang w:val="de-CH" w:eastAsia="de-CH"/>
        </w:rPr>
      </w:pPr>
      <w:hyperlink w:anchor="_Toc94114394" w:history="1">
        <w:r w:rsidR="009E45AE" w:rsidRPr="00744130">
          <w:rPr>
            <w:rStyle w:val="Hyperlink"/>
            <w:bCs/>
            <w:iCs/>
            <w:noProof/>
          </w:rPr>
          <w:t>III</w:t>
        </w:r>
        <w:r w:rsidR="009E45AE">
          <w:rPr>
            <w:rFonts w:asciiTheme="minorHAnsi" w:eastAsiaTheme="minorEastAsia" w:hAnsiTheme="minorHAnsi" w:cstheme="minorBidi"/>
            <w:noProof/>
            <w:lang w:val="de-CH" w:eastAsia="de-CH"/>
          </w:rPr>
          <w:tab/>
        </w:r>
        <w:r w:rsidR="009E45AE" w:rsidRPr="00744130">
          <w:rPr>
            <w:rStyle w:val="Hyperlink"/>
            <w:bCs/>
            <w:iCs/>
            <w:noProof/>
          </w:rPr>
          <w:t>Placements</w:t>
        </w:r>
        <w:r w:rsidR="009E45AE">
          <w:rPr>
            <w:noProof/>
            <w:webHidden/>
          </w:rPr>
          <w:tab/>
        </w:r>
        <w:r w:rsidR="009E45AE">
          <w:rPr>
            <w:noProof/>
            <w:webHidden/>
          </w:rPr>
          <w:fldChar w:fldCharType="begin"/>
        </w:r>
        <w:r w:rsidR="009E45AE">
          <w:rPr>
            <w:noProof/>
            <w:webHidden/>
          </w:rPr>
          <w:instrText xml:space="preserve"> PAGEREF _Toc94114394 \h </w:instrText>
        </w:r>
        <w:r w:rsidR="009E45AE">
          <w:rPr>
            <w:noProof/>
            <w:webHidden/>
          </w:rPr>
        </w:r>
        <w:r w:rsidR="009E45AE">
          <w:rPr>
            <w:noProof/>
            <w:webHidden/>
          </w:rPr>
          <w:fldChar w:fldCharType="separate"/>
        </w:r>
        <w:r>
          <w:rPr>
            <w:noProof/>
            <w:webHidden/>
          </w:rPr>
          <w:t>9</w:t>
        </w:r>
        <w:r w:rsidR="009E45AE">
          <w:rPr>
            <w:noProof/>
            <w:webHidden/>
          </w:rPr>
          <w:fldChar w:fldCharType="end"/>
        </w:r>
      </w:hyperlink>
    </w:p>
    <w:p w14:paraId="18B6708F" w14:textId="5B0A7A55" w:rsidR="009E45AE" w:rsidRDefault="00F82572">
      <w:pPr>
        <w:pStyle w:val="Verzeichnis2"/>
        <w:tabs>
          <w:tab w:val="left" w:pos="440"/>
        </w:tabs>
        <w:rPr>
          <w:rFonts w:asciiTheme="minorHAnsi" w:eastAsiaTheme="minorEastAsia" w:hAnsiTheme="minorHAnsi" w:cstheme="minorBidi"/>
          <w:noProof/>
          <w:lang w:val="de-CH" w:eastAsia="de-CH"/>
        </w:rPr>
      </w:pPr>
      <w:hyperlink w:anchor="_Toc94114395" w:history="1">
        <w:r w:rsidR="009E45AE" w:rsidRPr="00744130">
          <w:rPr>
            <w:rStyle w:val="Hyperlink"/>
            <w:noProof/>
          </w:rPr>
          <w:t>IV</w:t>
        </w:r>
        <w:r w:rsidR="009E45AE">
          <w:rPr>
            <w:rFonts w:asciiTheme="minorHAnsi" w:eastAsiaTheme="minorEastAsia" w:hAnsiTheme="minorHAnsi" w:cstheme="minorBidi"/>
            <w:noProof/>
            <w:lang w:val="de-CH" w:eastAsia="de-CH"/>
          </w:rPr>
          <w:tab/>
        </w:r>
        <w:r w:rsidR="009E45AE" w:rsidRPr="00744130">
          <w:rPr>
            <w:rStyle w:val="Hyperlink"/>
            <w:noProof/>
          </w:rPr>
          <w:t>Commanditaires</w:t>
        </w:r>
        <w:r w:rsidR="009E45AE">
          <w:rPr>
            <w:noProof/>
            <w:webHidden/>
          </w:rPr>
          <w:tab/>
        </w:r>
        <w:r w:rsidR="009E45AE">
          <w:rPr>
            <w:noProof/>
            <w:webHidden/>
          </w:rPr>
          <w:fldChar w:fldCharType="begin"/>
        </w:r>
        <w:r w:rsidR="009E45AE">
          <w:rPr>
            <w:noProof/>
            <w:webHidden/>
          </w:rPr>
          <w:instrText xml:space="preserve"> PAGEREF _Toc94114395 \h </w:instrText>
        </w:r>
        <w:r w:rsidR="009E45AE">
          <w:rPr>
            <w:noProof/>
            <w:webHidden/>
          </w:rPr>
        </w:r>
        <w:r w:rsidR="009E45AE">
          <w:rPr>
            <w:noProof/>
            <w:webHidden/>
          </w:rPr>
          <w:fldChar w:fldCharType="separate"/>
        </w:r>
        <w:r>
          <w:rPr>
            <w:noProof/>
            <w:webHidden/>
          </w:rPr>
          <w:t>9</w:t>
        </w:r>
        <w:r w:rsidR="009E45AE">
          <w:rPr>
            <w:noProof/>
            <w:webHidden/>
          </w:rPr>
          <w:fldChar w:fldCharType="end"/>
        </w:r>
      </w:hyperlink>
    </w:p>
    <w:p w14:paraId="2A08D8FF" w14:textId="7DF521A6"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6"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Compétences</w:t>
        </w:r>
        <w:r w:rsidR="009E45AE">
          <w:rPr>
            <w:noProof/>
            <w:webHidden/>
          </w:rPr>
          <w:tab/>
        </w:r>
        <w:r w:rsidR="009E45AE">
          <w:rPr>
            <w:noProof/>
            <w:webHidden/>
          </w:rPr>
          <w:fldChar w:fldCharType="begin"/>
        </w:r>
        <w:r w:rsidR="009E45AE">
          <w:rPr>
            <w:noProof/>
            <w:webHidden/>
          </w:rPr>
          <w:instrText xml:space="preserve"> PAGEREF _Toc94114396 \h </w:instrText>
        </w:r>
        <w:r w:rsidR="009E45AE">
          <w:rPr>
            <w:noProof/>
            <w:webHidden/>
          </w:rPr>
        </w:r>
        <w:r w:rsidR="009E45AE">
          <w:rPr>
            <w:noProof/>
            <w:webHidden/>
          </w:rPr>
          <w:fldChar w:fldCharType="separate"/>
        </w:r>
        <w:r>
          <w:rPr>
            <w:noProof/>
            <w:webHidden/>
          </w:rPr>
          <w:t>9</w:t>
        </w:r>
        <w:r w:rsidR="009E45AE">
          <w:rPr>
            <w:noProof/>
            <w:webHidden/>
          </w:rPr>
          <w:fldChar w:fldCharType="end"/>
        </w:r>
      </w:hyperlink>
    </w:p>
    <w:p w14:paraId="30796735" w14:textId="14C2D84E"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7"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Droit à l’information; confidentialité</w:t>
        </w:r>
        <w:r w:rsidR="009E45AE">
          <w:rPr>
            <w:noProof/>
            <w:webHidden/>
          </w:rPr>
          <w:tab/>
        </w:r>
        <w:r w:rsidR="009E45AE">
          <w:rPr>
            <w:noProof/>
            <w:webHidden/>
          </w:rPr>
          <w:fldChar w:fldCharType="begin"/>
        </w:r>
        <w:r w:rsidR="009E45AE">
          <w:rPr>
            <w:noProof/>
            <w:webHidden/>
          </w:rPr>
          <w:instrText xml:space="preserve"> PAGEREF _Toc94114397 \h </w:instrText>
        </w:r>
        <w:r w:rsidR="009E45AE">
          <w:rPr>
            <w:noProof/>
            <w:webHidden/>
          </w:rPr>
        </w:r>
        <w:r w:rsidR="009E45AE">
          <w:rPr>
            <w:noProof/>
            <w:webHidden/>
          </w:rPr>
          <w:fldChar w:fldCharType="separate"/>
        </w:r>
        <w:r>
          <w:rPr>
            <w:noProof/>
            <w:webHidden/>
          </w:rPr>
          <w:t>10</w:t>
        </w:r>
        <w:r w:rsidR="009E45AE">
          <w:rPr>
            <w:noProof/>
            <w:webHidden/>
          </w:rPr>
          <w:fldChar w:fldCharType="end"/>
        </w:r>
      </w:hyperlink>
    </w:p>
    <w:p w14:paraId="3C793B6A" w14:textId="60C5E561"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8" w:history="1">
        <w:r w:rsidR="009E45AE" w:rsidRPr="00744130">
          <w:rPr>
            <w:rStyle w:val="Hyperlink"/>
            <w:noProof/>
          </w:rPr>
          <w:t>C</w:t>
        </w:r>
        <w:r w:rsidR="009E45AE">
          <w:rPr>
            <w:rFonts w:asciiTheme="minorHAnsi" w:eastAsiaTheme="minorEastAsia" w:hAnsiTheme="minorHAnsi" w:cstheme="minorBidi"/>
            <w:noProof/>
            <w:lang w:val="de-CH" w:eastAsia="de-CH"/>
          </w:rPr>
          <w:tab/>
        </w:r>
        <w:r w:rsidR="009E45AE" w:rsidRPr="00744130">
          <w:rPr>
            <w:rStyle w:val="Hyperlink"/>
            <w:noProof/>
          </w:rPr>
          <w:t>Responsabilité</w:t>
        </w:r>
        <w:r w:rsidR="009E45AE">
          <w:rPr>
            <w:noProof/>
            <w:webHidden/>
          </w:rPr>
          <w:tab/>
        </w:r>
        <w:r w:rsidR="009E45AE">
          <w:rPr>
            <w:noProof/>
            <w:webHidden/>
          </w:rPr>
          <w:fldChar w:fldCharType="begin"/>
        </w:r>
        <w:r w:rsidR="009E45AE">
          <w:rPr>
            <w:noProof/>
            <w:webHidden/>
          </w:rPr>
          <w:instrText xml:space="preserve"> PAGEREF _Toc94114398 \h </w:instrText>
        </w:r>
        <w:r w:rsidR="009E45AE">
          <w:rPr>
            <w:noProof/>
            <w:webHidden/>
          </w:rPr>
        </w:r>
        <w:r w:rsidR="009E45AE">
          <w:rPr>
            <w:noProof/>
            <w:webHidden/>
          </w:rPr>
          <w:fldChar w:fldCharType="separate"/>
        </w:r>
        <w:r>
          <w:rPr>
            <w:noProof/>
            <w:webHidden/>
          </w:rPr>
          <w:t>10</w:t>
        </w:r>
        <w:r w:rsidR="009E45AE">
          <w:rPr>
            <w:noProof/>
            <w:webHidden/>
          </w:rPr>
          <w:fldChar w:fldCharType="end"/>
        </w:r>
      </w:hyperlink>
    </w:p>
    <w:p w14:paraId="11E91F36" w14:textId="76D8A168"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399" w:history="1">
        <w:r w:rsidR="009E45AE" w:rsidRPr="00744130">
          <w:rPr>
            <w:rStyle w:val="Hyperlink"/>
            <w:noProof/>
          </w:rPr>
          <w:t>D</w:t>
        </w:r>
        <w:r w:rsidR="009E45AE">
          <w:rPr>
            <w:rFonts w:asciiTheme="minorHAnsi" w:eastAsiaTheme="minorEastAsia" w:hAnsiTheme="minorHAnsi" w:cstheme="minorBidi"/>
            <w:noProof/>
            <w:lang w:val="de-CH" w:eastAsia="de-CH"/>
          </w:rPr>
          <w:tab/>
        </w:r>
        <w:r w:rsidR="009E45AE" w:rsidRPr="00744130">
          <w:rPr>
            <w:rStyle w:val="Hyperlink"/>
            <w:noProof/>
          </w:rPr>
          <w:t>Transfert de parts</w:t>
        </w:r>
        <w:r w:rsidR="009E45AE">
          <w:rPr>
            <w:noProof/>
            <w:webHidden/>
          </w:rPr>
          <w:tab/>
        </w:r>
        <w:r w:rsidR="009E45AE">
          <w:rPr>
            <w:noProof/>
            <w:webHidden/>
          </w:rPr>
          <w:fldChar w:fldCharType="begin"/>
        </w:r>
        <w:r w:rsidR="009E45AE">
          <w:rPr>
            <w:noProof/>
            <w:webHidden/>
          </w:rPr>
          <w:instrText xml:space="preserve"> PAGEREF _Toc94114399 \h </w:instrText>
        </w:r>
        <w:r w:rsidR="009E45AE">
          <w:rPr>
            <w:noProof/>
            <w:webHidden/>
          </w:rPr>
        </w:r>
        <w:r w:rsidR="009E45AE">
          <w:rPr>
            <w:noProof/>
            <w:webHidden/>
          </w:rPr>
          <w:fldChar w:fldCharType="separate"/>
        </w:r>
        <w:r>
          <w:rPr>
            <w:noProof/>
            <w:webHidden/>
          </w:rPr>
          <w:t>11</w:t>
        </w:r>
        <w:r w:rsidR="009E45AE">
          <w:rPr>
            <w:noProof/>
            <w:webHidden/>
          </w:rPr>
          <w:fldChar w:fldCharType="end"/>
        </w:r>
      </w:hyperlink>
    </w:p>
    <w:p w14:paraId="375F1BF5" w14:textId="0F500E9D"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0" w:history="1">
        <w:r w:rsidR="009E45AE" w:rsidRPr="00744130">
          <w:rPr>
            <w:rStyle w:val="Hyperlink"/>
            <w:noProof/>
          </w:rPr>
          <w:t>E</w:t>
        </w:r>
        <w:r w:rsidR="009E45AE">
          <w:rPr>
            <w:rFonts w:asciiTheme="minorHAnsi" w:eastAsiaTheme="minorEastAsia" w:hAnsiTheme="minorHAnsi" w:cstheme="minorBidi"/>
            <w:noProof/>
            <w:lang w:val="de-CH" w:eastAsia="de-CH"/>
          </w:rPr>
          <w:tab/>
        </w:r>
        <w:r w:rsidR="009E45AE" w:rsidRPr="00744130">
          <w:rPr>
            <w:rStyle w:val="Hyperlink"/>
            <w:noProof/>
          </w:rPr>
          <w:t>Décès, faillite, perte de la capacité civile et exclusion d’un Commanditaire</w:t>
        </w:r>
        <w:r w:rsidR="009E45AE">
          <w:rPr>
            <w:noProof/>
            <w:webHidden/>
          </w:rPr>
          <w:tab/>
        </w:r>
        <w:r w:rsidR="009E45AE">
          <w:rPr>
            <w:noProof/>
            <w:webHidden/>
          </w:rPr>
          <w:fldChar w:fldCharType="begin"/>
        </w:r>
        <w:r w:rsidR="009E45AE">
          <w:rPr>
            <w:noProof/>
            <w:webHidden/>
          </w:rPr>
          <w:instrText xml:space="preserve"> PAGEREF _Toc94114400 \h </w:instrText>
        </w:r>
        <w:r w:rsidR="009E45AE">
          <w:rPr>
            <w:noProof/>
            <w:webHidden/>
          </w:rPr>
        </w:r>
        <w:r w:rsidR="009E45AE">
          <w:rPr>
            <w:noProof/>
            <w:webHidden/>
          </w:rPr>
          <w:fldChar w:fldCharType="separate"/>
        </w:r>
        <w:r>
          <w:rPr>
            <w:noProof/>
            <w:webHidden/>
          </w:rPr>
          <w:t>11</w:t>
        </w:r>
        <w:r w:rsidR="009E45AE">
          <w:rPr>
            <w:noProof/>
            <w:webHidden/>
          </w:rPr>
          <w:fldChar w:fldCharType="end"/>
        </w:r>
      </w:hyperlink>
    </w:p>
    <w:p w14:paraId="56C04877" w14:textId="68C91243" w:rsidR="009E45AE" w:rsidRDefault="00F82572">
      <w:pPr>
        <w:pStyle w:val="Verzeichnis2"/>
        <w:tabs>
          <w:tab w:val="left" w:pos="440"/>
        </w:tabs>
        <w:rPr>
          <w:rFonts w:asciiTheme="minorHAnsi" w:eastAsiaTheme="minorEastAsia" w:hAnsiTheme="minorHAnsi" w:cstheme="minorBidi"/>
          <w:noProof/>
          <w:lang w:val="de-CH" w:eastAsia="de-CH"/>
        </w:rPr>
      </w:pPr>
      <w:hyperlink w:anchor="_Toc94114401" w:history="1">
        <w:r w:rsidR="009E45AE" w:rsidRPr="00744130">
          <w:rPr>
            <w:rStyle w:val="Hyperlink"/>
            <w:noProof/>
          </w:rPr>
          <w:t>V</w:t>
        </w:r>
        <w:r w:rsidR="009E45AE">
          <w:rPr>
            <w:rFonts w:asciiTheme="minorHAnsi" w:eastAsiaTheme="minorEastAsia" w:hAnsiTheme="minorHAnsi" w:cstheme="minorBidi"/>
            <w:noProof/>
            <w:lang w:val="de-CH" w:eastAsia="de-CH"/>
          </w:rPr>
          <w:tab/>
        </w:r>
        <w:r w:rsidR="009E45AE" w:rsidRPr="00744130">
          <w:rPr>
            <w:rStyle w:val="Hyperlink"/>
            <w:noProof/>
          </w:rPr>
          <w:t>Assemblée des associés</w:t>
        </w:r>
        <w:r w:rsidR="009E45AE">
          <w:rPr>
            <w:noProof/>
            <w:webHidden/>
          </w:rPr>
          <w:tab/>
        </w:r>
        <w:r w:rsidR="009E45AE">
          <w:rPr>
            <w:noProof/>
            <w:webHidden/>
          </w:rPr>
          <w:fldChar w:fldCharType="begin"/>
        </w:r>
        <w:r w:rsidR="009E45AE">
          <w:rPr>
            <w:noProof/>
            <w:webHidden/>
          </w:rPr>
          <w:instrText xml:space="preserve"> PAGEREF _Toc94114401 \h </w:instrText>
        </w:r>
        <w:r w:rsidR="009E45AE">
          <w:rPr>
            <w:noProof/>
            <w:webHidden/>
          </w:rPr>
        </w:r>
        <w:r w:rsidR="009E45AE">
          <w:rPr>
            <w:noProof/>
            <w:webHidden/>
          </w:rPr>
          <w:fldChar w:fldCharType="separate"/>
        </w:r>
        <w:r>
          <w:rPr>
            <w:noProof/>
            <w:webHidden/>
          </w:rPr>
          <w:t>12</w:t>
        </w:r>
        <w:r w:rsidR="009E45AE">
          <w:rPr>
            <w:noProof/>
            <w:webHidden/>
          </w:rPr>
          <w:fldChar w:fldCharType="end"/>
        </w:r>
      </w:hyperlink>
    </w:p>
    <w:p w14:paraId="29A8DB7E" w14:textId="00FACEA4"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2"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Compétences</w:t>
        </w:r>
        <w:r w:rsidR="009E45AE">
          <w:rPr>
            <w:noProof/>
            <w:webHidden/>
          </w:rPr>
          <w:tab/>
        </w:r>
        <w:r w:rsidR="009E45AE">
          <w:rPr>
            <w:noProof/>
            <w:webHidden/>
          </w:rPr>
          <w:fldChar w:fldCharType="begin"/>
        </w:r>
        <w:r w:rsidR="009E45AE">
          <w:rPr>
            <w:noProof/>
            <w:webHidden/>
          </w:rPr>
          <w:instrText xml:space="preserve"> PAGEREF _Toc94114402 \h </w:instrText>
        </w:r>
        <w:r w:rsidR="009E45AE">
          <w:rPr>
            <w:noProof/>
            <w:webHidden/>
          </w:rPr>
        </w:r>
        <w:r w:rsidR="009E45AE">
          <w:rPr>
            <w:noProof/>
            <w:webHidden/>
          </w:rPr>
          <w:fldChar w:fldCharType="separate"/>
        </w:r>
        <w:r>
          <w:rPr>
            <w:noProof/>
            <w:webHidden/>
          </w:rPr>
          <w:t>12</w:t>
        </w:r>
        <w:r w:rsidR="009E45AE">
          <w:rPr>
            <w:noProof/>
            <w:webHidden/>
          </w:rPr>
          <w:fldChar w:fldCharType="end"/>
        </w:r>
      </w:hyperlink>
    </w:p>
    <w:p w14:paraId="4DF93795" w14:textId="22C36123"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3"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Convocation et tenue de l’Assemblée des associés</w:t>
        </w:r>
        <w:r w:rsidR="009E45AE">
          <w:rPr>
            <w:noProof/>
            <w:webHidden/>
          </w:rPr>
          <w:tab/>
        </w:r>
        <w:r w:rsidR="009E45AE">
          <w:rPr>
            <w:noProof/>
            <w:webHidden/>
          </w:rPr>
          <w:fldChar w:fldCharType="begin"/>
        </w:r>
        <w:r w:rsidR="009E45AE">
          <w:rPr>
            <w:noProof/>
            <w:webHidden/>
          </w:rPr>
          <w:instrText xml:space="preserve"> PAGEREF _Toc94114403 \h </w:instrText>
        </w:r>
        <w:r w:rsidR="009E45AE">
          <w:rPr>
            <w:noProof/>
            <w:webHidden/>
          </w:rPr>
        </w:r>
        <w:r w:rsidR="009E45AE">
          <w:rPr>
            <w:noProof/>
            <w:webHidden/>
          </w:rPr>
          <w:fldChar w:fldCharType="separate"/>
        </w:r>
        <w:r>
          <w:rPr>
            <w:noProof/>
            <w:webHidden/>
          </w:rPr>
          <w:t>13</w:t>
        </w:r>
        <w:r w:rsidR="009E45AE">
          <w:rPr>
            <w:noProof/>
            <w:webHidden/>
          </w:rPr>
          <w:fldChar w:fldCharType="end"/>
        </w:r>
      </w:hyperlink>
    </w:p>
    <w:p w14:paraId="6CD61B8E" w14:textId="12356CAF"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4" w:history="1">
        <w:r w:rsidR="009E45AE" w:rsidRPr="00744130">
          <w:rPr>
            <w:rStyle w:val="Hyperlink"/>
            <w:noProof/>
          </w:rPr>
          <w:t>D</w:t>
        </w:r>
        <w:r w:rsidR="009E45AE">
          <w:rPr>
            <w:rFonts w:asciiTheme="minorHAnsi" w:eastAsiaTheme="minorEastAsia" w:hAnsiTheme="minorHAnsi" w:cstheme="minorBidi"/>
            <w:noProof/>
            <w:lang w:val="de-CH" w:eastAsia="de-CH"/>
          </w:rPr>
          <w:tab/>
        </w:r>
        <w:r w:rsidR="009E45AE" w:rsidRPr="00744130">
          <w:rPr>
            <w:rStyle w:val="Hyperlink"/>
            <w:noProof/>
          </w:rPr>
          <w:t>[</w:t>
        </w:r>
        <w:r w:rsidR="009E45AE" w:rsidRPr="00744130">
          <w:rPr>
            <w:rStyle w:val="Hyperlink"/>
            <w:noProof/>
            <w:highlight w:val="yellow"/>
          </w:rPr>
          <w:t>Comité consultatif</w:t>
        </w:r>
        <w:r w:rsidR="009E45AE" w:rsidRPr="00744130">
          <w:rPr>
            <w:rStyle w:val="Hyperlink"/>
            <w:noProof/>
          </w:rPr>
          <w:t>]</w:t>
        </w:r>
        <w:r w:rsidR="009E45AE">
          <w:rPr>
            <w:noProof/>
            <w:webHidden/>
          </w:rPr>
          <w:tab/>
        </w:r>
        <w:r w:rsidR="009E45AE">
          <w:rPr>
            <w:noProof/>
            <w:webHidden/>
          </w:rPr>
          <w:fldChar w:fldCharType="begin"/>
        </w:r>
        <w:r w:rsidR="009E45AE">
          <w:rPr>
            <w:noProof/>
            <w:webHidden/>
          </w:rPr>
          <w:instrText xml:space="preserve"> PAGEREF _Toc94114404 \h </w:instrText>
        </w:r>
        <w:r w:rsidR="009E45AE">
          <w:rPr>
            <w:noProof/>
            <w:webHidden/>
          </w:rPr>
          <w:fldChar w:fldCharType="separate"/>
        </w:r>
        <w:r>
          <w:rPr>
            <w:b/>
            <w:bCs/>
            <w:noProof/>
            <w:webHidden/>
            <w:lang w:val="de-DE"/>
          </w:rPr>
          <w:t>Fehler! Textmarke nicht definiert.</w:t>
        </w:r>
        <w:r w:rsidR="009E45AE">
          <w:rPr>
            <w:noProof/>
            <w:webHidden/>
          </w:rPr>
          <w:fldChar w:fldCharType="end"/>
        </w:r>
      </w:hyperlink>
    </w:p>
    <w:p w14:paraId="6CEBFAEA" w14:textId="13F6FC64" w:rsidR="009E45AE" w:rsidRDefault="00F82572">
      <w:pPr>
        <w:pStyle w:val="Verzeichnis2"/>
        <w:tabs>
          <w:tab w:val="left" w:pos="440"/>
        </w:tabs>
        <w:rPr>
          <w:rFonts w:asciiTheme="minorHAnsi" w:eastAsiaTheme="minorEastAsia" w:hAnsiTheme="minorHAnsi" w:cstheme="minorBidi"/>
          <w:noProof/>
          <w:lang w:val="de-CH" w:eastAsia="de-CH"/>
        </w:rPr>
      </w:pPr>
      <w:hyperlink w:anchor="_Toc94114405" w:history="1">
        <w:r w:rsidR="009E45AE" w:rsidRPr="00744130">
          <w:rPr>
            <w:rStyle w:val="Hyperlink"/>
            <w:noProof/>
          </w:rPr>
          <w:t>VI</w:t>
        </w:r>
        <w:r w:rsidR="009E45AE">
          <w:rPr>
            <w:rFonts w:asciiTheme="minorHAnsi" w:eastAsiaTheme="minorEastAsia" w:hAnsiTheme="minorHAnsi" w:cstheme="minorBidi"/>
            <w:noProof/>
            <w:lang w:val="de-CH" w:eastAsia="de-CH"/>
          </w:rPr>
          <w:tab/>
        </w:r>
        <w:r w:rsidR="009E45AE" w:rsidRPr="00744130">
          <w:rPr>
            <w:rStyle w:val="Hyperlink"/>
            <w:noProof/>
          </w:rPr>
          <w:t>La SA indéfiniment responsable</w:t>
        </w:r>
        <w:r w:rsidR="009E45AE">
          <w:rPr>
            <w:noProof/>
            <w:webHidden/>
          </w:rPr>
          <w:tab/>
        </w:r>
        <w:r w:rsidR="009E45AE">
          <w:rPr>
            <w:noProof/>
            <w:webHidden/>
          </w:rPr>
          <w:fldChar w:fldCharType="begin"/>
        </w:r>
        <w:r w:rsidR="009E45AE">
          <w:rPr>
            <w:noProof/>
            <w:webHidden/>
          </w:rPr>
          <w:instrText xml:space="preserve"> PAGEREF _Toc94114405 \h </w:instrText>
        </w:r>
        <w:r w:rsidR="009E45AE">
          <w:rPr>
            <w:noProof/>
            <w:webHidden/>
          </w:rPr>
        </w:r>
        <w:r w:rsidR="009E45AE">
          <w:rPr>
            <w:noProof/>
            <w:webHidden/>
          </w:rPr>
          <w:fldChar w:fldCharType="separate"/>
        </w:r>
        <w:r>
          <w:rPr>
            <w:noProof/>
            <w:webHidden/>
          </w:rPr>
          <w:t>15</w:t>
        </w:r>
        <w:r w:rsidR="009E45AE">
          <w:rPr>
            <w:noProof/>
            <w:webHidden/>
          </w:rPr>
          <w:fldChar w:fldCharType="end"/>
        </w:r>
      </w:hyperlink>
    </w:p>
    <w:p w14:paraId="3405C53D" w14:textId="1CA7376B"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6"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Gestion des affaires et représentation</w:t>
        </w:r>
        <w:r w:rsidR="009E45AE">
          <w:rPr>
            <w:noProof/>
            <w:webHidden/>
          </w:rPr>
          <w:tab/>
        </w:r>
        <w:r w:rsidR="009E45AE">
          <w:rPr>
            <w:noProof/>
            <w:webHidden/>
          </w:rPr>
          <w:fldChar w:fldCharType="begin"/>
        </w:r>
        <w:r w:rsidR="009E45AE">
          <w:rPr>
            <w:noProof/>
            <w:webHidden/>
          </w:rPr>
          <w:instrText xml:space="preserve"> PAGEREF _Toc94114406 \h </w:instrText>
        </w:r>
        <w:r w:rsidR="009E45AE">
          <w:rPr>
            <w:noProof/>
            <w:webHidden/>
          </w:rPr>
        </w:r>
        <w:r w:rsidR="009E45AE">
          <w:rPr>
            <w:noProof/>
            <w:webHidden/>
          </w:rPr>
          <w:fldChar w:fldCharType="separate"/>
        </w:r>
        <w:r>
          <w:rPr>
            <w:noProof/>
            <w:webHidden/>
          </w:rPr>
          <w:t>15</w:t>
        </w:r>
        <w:r w:rsidR="009E45AE">
          <w:rPr>
            <w:noProof/>
            <w:webHidden/>
          </w:rPr>
          <w:fldChar w:fldCharType="end"/>
        </w:r>
      </w:hyperlink>
    </w:p>
    <w:p w14:paraId="5C6C9418" w14:textId="384B757B"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7"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Responsabilité et délégation</w:t>
        </w:r>
        <w:r w:rsidR="009E45AE">
          <w:rPr>
            <w:noProof/>
            <w:webHidden/>
          </w:rPr>
          <w:tab/>
        </w:r>
        <w:r w:rsidR="009E45AE">
          <w:rPr>
            <w:noProof/>
            <w:webHidden/>
          </w:rPr>
          <w:fldChar w:fldCharType="begin"/>
        </w:r>
        <w:r w:rsidR="009E45AE">
          <w:rPr>
            <w:noProof/>
            <w:webHidden/>
          </w:rPr>
          <w:instrText xml:space="preserve"> PAGEREF _Toc94114407 \h </w:instrText>
        </w:r>
        <w:r w:rsidR="009E45AE">
          <w:rPr>
            <w:noProof/>
            <w:webHidden/>
          </w:rPr>
        </w:r>
        <w:r w:rsidR="009E45AE">
          <w:rPr>
            <w:noProof/>
            <w:webHidden/>
          </w:rPr>
          <w:fldChar w:fldCharType="separate"/>
        </w:r>
        <w:r>
          <w:rPr>
            <w:noProof/>
            <w:webHidden/>
          </w:rPr>
          <w:t>16</w:t>
        </w:r>
        <w:r w:rsidR="009E45AE">
          <w:rPr>
            <w:noProof/>
            <w:webHidden/>
          </w:rPr>
          <w:fldChar w:fldCharType="end"/>
        </w:r>
      </w:hyperlink>
    </w:p>
    <w:p w14:paraId="4C7A3BE1" w14:textId="4ED09FB6" w:rsidR="009E45AE" w:rsidRDefault="00F82572">
      <w:pPr>
        <w:pStyle w:val="Verzeichnis2"/>
        <w:tabs>
          <w:tab w:val="left" w:pos="660"/>
        </w:tabs>
        <w:rPr>
          <w:rFonts w:asciiTheme="minorHAnsi" w:eastAsiaTheme="minorEastAsia" w:hAnsiTheme="minorHAnsi" w:cstheme="minorBidi"/>
          <w:noProof/>
          <w:lang w:val="de-CH" w:eastAsia="de-CH"/>
        </w:rPr>
      </w:pPr>
      <w:hyperlink w:anchor="_Toc94114408" w:history="1">
        <w:r w:rsidR="009E45AE" w:rsidRPr="00744130">
          <w:rPr>
            <w:rStyle w:val="Hyperlink"/>
            <w:noProof/>
          </w:rPr>
          <w:t>VII</w:t>
        </w:r>
        <w:r w:rsidR="009E45AE">
          <w:rPr>
            <w:rFonts w:asciiTheme="minorHAnsi" w:eastAsiaTheme="minorEastAsia" w:hAnsiTheme="minorHAnsi" w:cstheme="minorBidi"/>
            <w:noProof/>
            <w:lang w:val="de-CH" w:eastAsia="de-CH"/>
          </w:rPr>
          <w:tab/>
        </w:r>
        <w:r w:rsidR="009E45AE" w:rsidRPr="00744130">
          <w:rPr>
            <w:rStyle w:val="Hyperlink"/>
            <w:noProof/>
          </w:rPr>
          <w:t>Comptabilité, distribution des bénéfices, Société d’audit et Organe de révision</w:t>
        </w:r>
        <w:r w:rsidR="009E45AE">
          <w:rPr>
            <w:noProof/>
            <w:webHidden/>
          </w:rPr>
          <w:tab/>
        </w:r>
        <w:r w:rsidR="009E45AE">
          <w:rPr>
            <w:noProof/>
            <w:webHidden/>
          </w:rPr>
          <w:fldChar w:fldCharType="begin"/>
        </w:r>
        <w:r w:rsidR="009E45AE">
          <w:rPr>
            <w:noProof/>
            <w:webHidden/>
          </w:rPr>
          <w:instrText xml:space="preserve"> PAGEREF _Toc94114408 \h </w:instrText>
        </w:r>
        <w:r w:rsidR="009E45AE">
          <w:rPr>
            <w:noProof/>
            <w:webHidden/>
          </w:rPr>
        </w:r>
        <w:r w:rsidR="009E45AE">
          <w:rPr>
            <w:noProof/>
            <w:webHidden/>
          </w:rPr>
          <w:fldChar w:fldCharType="separate"/>
        </w:r>
        <w:r>
          <w:rPr>
            <w:noProof/>
            <w:webHidden/>
          </w:rPr>
          <w:t>17</w:t>
        </w:r>
        <w:r w:rsidR="009E45AE">
          <w:rPr>
            <w:noProof/>
            <w:webHidden/>
          </w:rPr>
          <w:fldChar w:fldCharType="end"/>
        </w:r>
      </w:hyperlink>
    </w:p>
    <w:p w14:paraId="0857F471" w14:textId="77660D77"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09"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Comptabilité, évaluation et compte rendu</w:t>
        </w:r>
        <w:r w:rsidR="009E45AE">
          <w:rPr>
            <w:noProof/>
            <w:webHidden/>
          </w:rPr>
          <w:tab/>
        </w:r>
        <w:r w:rsidR="009E45AE">
          <w:rPr>
            <w:noProof/>
            <w:webHidden/>
          </w:rPr>
          <w:fldChar w:fldCharType="begin"/>
        </w:r>
        <w:r w:rsidR="009E45AE">
          <w:rPr>
            <w:noProof/>
            <w:webHidden/>
          </w:rPr>
          <w:instrText xml:space="preserve"> PAGEREF _Toc94114409 \h </w:instrText>
        </w:r>
        <w:r w:rsidR="009E45AE">
          <w:rPr>
            <w:noProof/>
            <w:webHidden/>
          </w:rPr>
        </w:r>
        <w:r w:rsidR="009E45AE">
          <w:rPr>
            <w:noProof/>
            <w:webHidden/>
          </w:rPr>
          <w:fldChar w:fldCharType="separate"/>
        </w:r>
        <w:r>
          <w:rPr>
            <w:noProof/>
            <w:webHidden/>
          </w:rPr>
          <w:t>17</w:t>
        </w:r>
        <w:r w:rsidR="009E45AE">
          <w:rPr>
            <w:noProof/>
            <w:webHidden/>
          </w:rPr>
          <w:fldChar w:fldCharType="end"/>
        </w:r>
      </w:hyperlink>
    </w:p>
    <w:p w14:paraId="31495464" w14:textId="4F0A73B7"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10"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Remboursement du capital et distribution du bénéfice</w:t>
        </w:r>
        <w:r w:rsidR="009E45AE">
          <w:rPr>
            <w:noProof/>
            <w:webHidden/>
          </w:rPr>
          <w:tab/>
        </w:r>
        <w:r w:rsidR="009E45AE">
          <w:rPr>
            <w:noProof/>
            <w:webHidden/>
          </w:rPr>
          <w:fldChar w:fldCharType="begin"/>
        </w:r>
        <w:r w:rsidR="009E45AE">
          <w:rPr>
            <w:noProof/>
            <w:webHidden/>
          </w:rPr>
          <w:instrText xml:space="preserve"> PAGEREF _Toc94114410 \h </w:instrText>
        </w:r>
        <w:r w:rsidR="009E45AE">
          <w:rPr>
            <w:noProof/>
            <w:webHidden/>
          </w:rPr>
        </w:r>
        <w:r w:rsidR="009E45AE">
          <w:rPr>
            <w:noProof/>
            <w:webHidden/>
          </w:rPr>
          <w:fldChar w:fldCharType="separate"/>
        </w:r>
        <w:r>
          <w:rPr>
            <w:noProof/>
            <w:webHidden/>
          </w:rPr>
          <w:t>17</w:t>
        </w:r>
        <w:r w:rsidR="009E45AE">
          <w:rPr>
            <w:noProof/>
            <w:webHidden/>
          </w:rPr>
          <w:fldChar w:fldCharType="end"/>
        </w:r>
      </w:hyperlink>
    </w:p>
    <w:p w14:paraId="653742CA" w14:textId="04D8445F"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11" w:history="1">
        <w:r w:rsidR="009E45AE" w:rsidRPr="00744130">
          <w:rPr>
            <w:rStyle w:val="Hyperlink"/>
            <w:noProof/>
          </w:rPr>
          <w:t>C</w:t>
        </w:r>
        <w:r w:rsidR="009E45AE">
          <w:rPr>
            <w:rFonts w:asciiTheme="minorHAnsi" w:eastAsiaTheme="minorEastAsia" w:hAnsiTheme="minorHAnsi" w:cstheme="minorBidi"/>
            <w:noProof/>
            <w:lang w:val="de-CH" w:eastAsia="de-CH"/>
          </w:rPr>
          <w:tab/>
        </w:r>
        <w:r w:rsidR="009E45AE" w:rsidRPr="00744130">
          <w:rPr>
            <w:rStyle w:val="Hyperlink"/>
            <w:noProof/>
          </w:rPr>
          <w:t>Société d’audit et Organe de révision</w:t>
        </w:r>
        <w:r w:rsidR="009E45AE">
          <w:rPr>
            <w:noProof/>
            <w:webHidden/>
          </w:rPr>
          <w:tab/>
        </w:r>
        <w:r w:rsidR="009E45AE">
          <w:rPr>
            <w:noProof/>
            <w:webHidden/>
          </w:rPr>
          <w:fldChar w:fldCharType="begin"/>
        </w:r>
        <w:r w:rsidR="009E45AE">
          <w:rPr>
            <w:noProof/>
            <w:webHidden/>
          </w:rPr>
          <w:instrText xml:space="preserve"> PAGEREF _Toc94114411 \h </w:instrText>
        </w:r>
        <w:r w:rsidR="009E45AE">
          <w:rPr>
            <w:noProof/>
            <w:webHidden/>
          </w:rPr>
        </w:r>
        <w:r w:rsidR="009E45AE">
          <w:rPr>
            <w:noProof/>
            <w:webHidden/>
          </w:rPr>
          <w:fldChar w:fldCharType="separate"/>
        </w:r>
        <w:r>
          <w:rPr>
            <w:noProof/>
            <w:webHidden/>
          </w:rPr>
          <w:t>18</w:t>
        </w:r>
        <w:r w:rsidR="009E45AE">
          <w:rPr>
            <w:noProof/>
            <w:webHidden/>
          </w:rPr>
          <w:fldChar w:fldCharType="end"/>
        </w:r>
      </w:hyperlink>
    </w:p>
    <w:p w14:paraId="140A1DA5" w14:textId="289F0543" w:rsidR="009E45AE" w:rsidRDefault="00F82572">
      <w:pPr>
        <w:pStyle w:val="Verzeichnis2"/>
        <w:tabs>
          <w:tab w:val="left" w:pos="660"/>
        </w:tabs>
        <w:rPr>
          <w:rFonts w:asciiTheme="minorHAnsi" w:eastAsiaTheme="minorEastAsia" w:hAnsiTheme="minorHAnsi" w:cstheme="minorBidi"/>
          <w:noProof/>
          <w:lang w:val="de-CH" w:eastAsia="de-CH"/>
        </w:rPr>
      </w:pPr>
      <w:hyperlink w:anchor="_Toc94114412" w:history="1">
        <w:r w:rsidR="009E45AE" w:rsidRPr="00744130">
          <w:rPr>
            <w:rStyle w:val="Hyperlink"/>
            <w:noProof/>
          </w:rPr>
          <w:t>VIII</w:t>
        </w:r>
        <w:r w:rsidR="009E45AE">
          <w:rPr>
            <w:rFonts w:asciiTheme="minorHAnsi" w:eastAsiaTheme="minorEastAsia" w:hAnsiTheme="minorHAnsi" w:cstheme="minorBidi"/>
            <w:noProof/>
            <w:lang w:val="de-CH" w:eastAsia="de-CH"/>
          </w:rPr>
          <w:tab/>
        </w:r>
        <w:r w:rsidR="009E45AE" w:rsidRPr="00744130">
          <w:rPr>
            <w:rStyle w:val="Hyperlink"/>
            <w:noProof/>
          </w:rPr>
          <w:t>Divers</w:t>
        </w:r>
        <w:r w:rsidR="009E45AE">
          <w:rPr>
            <w:noProof/>
            <w:webHidden/>
          </w:rPr>
          <w:tab/>
        </w:r>
        <w:r w:rsidR="009E45AE">
          <w:rPr>
            <w:noProof/>
            <w:webHidden/>
          </w:rPr>
          <w:fldChar w:fldCharType="begin"/>
        </w:r>
        <w:r w:rsidR="009E45AE">
          <w:rPr>
            <w:noProof/>
            <w:webHidden/>
          </w:rPr>
          <w:instrText xml:space="preserve"> PAGEREF _Toc94114412 \h </w:instrText>
        </w:r>
        <w:r w:rsidR="009E45AE">
          <w:rPr>
            <w:noProof/>
            <w:webHidden/>
          </w:rPr>
        </w:r>
        <w:r w:rsidR="009E45AE">
          <w:rPr>
            <w:noProof/>
            <w:webHidden/>
          </w:rPr>
          <w:fldChar w:fldCharType="separate"/>
        </w:r>
        <w:r>
          <w:rPr>
            <w:noProof/>
            <w:webHidden/>
          </w:rPr>
          <w:t>19</w:t>
        </w:r>
        <w:r w:rsidR="009E45AE">
          <w:rPr>
            <w:noProof/>
            <w:webHidden/>
          </w:rPr>
          <w:fldChar w:fldCharType="end"/>
        </w:r>
      </w:hyperlink>
    </w:p>
    <w:p w14:paraId="632009BF" w14:textId="5E5B3C4C"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13" w:history="1">
        <w:r w:rsidR="009E45AE" w:rsidRPr="00744130">
          <w:rPr>
            <w:rStyle w:val="Hyperlink"/>
            <w:noProof/>
          </w:rPr>
          <w:t>A</w:t>
        </w:r>
        <w:r w:rsidR="009E45AE">
          <w:rPr>
            <w:rFonts w:asciiTheme="minorHAnsi" w:eastAsiaTheme="minorEastAsia" w:hAnsiTheme="minorHAnsi" w:cstheme="minorBidi"/>
            <w:noProof/>
            <w:lang w:val="de-CH" w:eastAsia="de-CH"/>
          </w:rPr>
          <w:tab/>
        </w:r>
        <w:r w:rsidR="009E45AE" w:rsidRPr="00744130">
          <w:rPr>
            <w:rStyle w:val="Hyperlink"/>
            <w:noProof/>
          </w:rPr>
          <w:t>Dissolution</w:t>
        </w:r>
        <w:r w:rsidR="009E45AE">
          <w:rPr>
            <w:noProof/>
            <w:webHidden/>
          </w:rPr>
          <w:tab/>
        </w:r>
        <w:r w:rsidR="009E45AE">
          <w:rPr>
            <w:noProof/>
            <w:webHidden/>
          </w:rPr>
          <w:fldChar w:fldCharType="begin"/>
        </w:r>
        <w:r w:rsidR="009E45AE">
          <w:rPr>
            <w:noProof/>
            <w:webHidden/>
          </w:rPr>
          <w:instrText xml:space="preserve"> PAGEREF _Toc94114413 \h </w:instrText>
        </w:r>
        <w:r w:rsidR="009E45AE">
          <w:rPr>
            <w:noProof/>
            <w:webHidden/>
          </w:rPr>
        </w:r>
        <w:r w:rsidR="009E45AE">
          <w:rPr>
            <w:noProof/>
            <w:webHidden/>
          </w:rPr>
          <w:fldChar w:fldCharType="separate"/>
        </w:r>
        <w:r>
          <w:rPr>
            <w:noProof/>
            <w:webHidden/>
          </w:rPr>
          <w:t>19</w:t>
        </w:r>
        <w:r w:rsidR="009E45AE">
          <w:rPr>
            <w:noProof/>
            <w:webHidden/>
          </w:rPr>
          <w:fldChar w:fldCharType="end"/>
        </w:r>
      </w:hyperlink>
    </w:p>
    <w:p w14:paraId="5F22D72D" w14:textId="414FCDCB"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14" w:history="1">
        <w:r w:rsidR="009E45AE" w:rsidRPr="00744130">
          <w:rPr>
            <w:rStyle w:val="Hyperlink"/>
            <w:noProof/>
          </w:rPr>
          <w:t>B</w:t>
        </w:r>
        <w:r w:rsidR="009E45AE">
          <w:rPr>
            <w:rFonts w:asciiTheme="minorHAnsi" w:eastAsiaTheme="minorEastAsia" w:hAnsiTheme="minorHAnsi" w:cstheme="minorBidi"/>
            <w:noProof/>
            <w:lang w:val="de-CH" w:eastAsia="de-CH"/>
          </w:rPr>
          <w:tab/>
        </w:r>
        <w:r w:rsidR="009E45AE" w:rsidRPr="00744130">
          <w:rPr>
            <w:rStyle w:val="Hyperlink"/>
            <w:noProof/>
          </w:rPr>
          <w:t>Communications</w:t>
        </w:r>
        <w:r w:rsidR="009E45AE">
          <w:rPr>
            <w:noProof/>
            <w:webHidden/>
          </w:rPr>
          <w:tab/>
        </w:r>
        <w:r w:rsidR="009E45AE">
          <w:rPr>
            <w:noProof/>
            <w:webHidden/>
          </w:rPr>
          <w:fldChar w:fldCharType="begin"/>
        </w:r>
        <w:r w:rsidR="009E45AE">
          <w:rPr>
            <w:noProof/>
            <w:webHidden/>
          </w:rPr>
          <w:instrText xml:space="preserve"> PAGEREF _Toc94114414 \h </w:instrText>
        </w:r>
        <w:r w:rsidR="009E45AE">
          <w:rPr>
            <w:noProof/>
            <w:webHidden/>
          </w:rPr>
        </w:r>
        <w:r w:rsidR="009E45AE">
          <w:rPr>
            <w:noProof/>
            <w:webHidden/>
          </w:rPr>
          <w:fldChar w:fldCharType="separate"/>
        </w:r>
        <w:r>
          <w:rPr>
            <w:noProof/>
            <w:webHidden/>
          </w:rPr>
          <w:t>19</w:t>
        </w:r>
        <w:r w:rsidR="009E45AE">
          <w:rPr>
            <w:noProof/>
            <w:webHidden/>
          </w:rPr>
          <w:fldChar w:fldCharType="end"/>
        </w:r>
      </w:hyperlink>
    </w:p>
    <w:p w14:paraId="56A5BDAD" w14:textId="0BD249E4"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15" w:history="1">
        <w:r w:rsidR="009E45AE" w:rsidRPr="00744130">
          <w:rPr>
            <w:rStyle w:val="Hyperlink"/>
            <w:noProof/>
          </w:rPr>
          <w:t>C</w:t>
        </w:r>
        <w:r w:rsidR="009E45AE">
          <w:rPr>
            <w:rFonts w:asciiTheme="minorHAnsi" w:eastAsiaTheme="minorEastAsia" w:hAnsiTheme="minorHAnsi" w:cstheme="minorBidi"/>
            <w:noProof/>
            <w:lang w:val="de-CH" w:eastAsia="de-CH"/>
          </w:rPr>
          <w:tab/>
        </w:r>
        <w:r w:rsidR="009E45AE" w:rsidRPr="00744130">
          <w:rPr>
            <w:rStyle w:val="Hyperlink"/>
            <w:noProof/>
          </w:rPr>
          <w:t>Arbitrage</w:t>
        </w:r>
        <w:r w:rsidR="009E45AE">
          <w:rPr>
            <w:noProof/>
            <w:webHidden/>
          </w:rPr>
          <w:tab/>
        </w:r>
        <w:r w:rsidR="009E45AE">
          <w:rPr>
            <w:noProof/>
            <w:webHidden/>
          </w:rPr>
          <w:fldChar w:fldCharType="begin"/>
        </w:r>
        <w:r w:rsidR="009E45AE">
          <w:rPr>
            <w:noProof/>
            <w:webHidden/>
          </w:rPr>
          <w:instrText xml:space="preserve"> PAGEREF _Toc94114415 \h </w:instrText>
        </w:r>
        <w:r w:rsidR="009E45AE">
          <w:rPr>
            <w:noProof/>
            <w:webHidden/>
          </w:rPr>
        </w:r>
        <w:r w:rsidR="009E45AE">
          <w:rPr>
            <w:noProof/>
            <w:webHidden/>
          </w:rPr>
          <w:fldChar w:fldCharType="separate"/>
        </w:r>
        <w:r>
          <w:rPr>
            <w:noProof/>
            <w:webHidden/>
          </w:rPr>
          <w:t>19</w:t>
        </w:r>
        <w:r w:rsidR="009E45AE">
          <w:rPr>
            <w:noProof/>
            <w:webHidden/>
          </w:rPr>
          <w:fldChar w:fldCharType="end"/>
        </w:r>
      </w:hyperlink>
    </w:p>
    <w:p w14:paraId="2F6A7801" w14:textId="6FBA3181" w:rsidR="009E45AE" w:rsidRDefault="00F82572">
      <w:pPr>
        <w:pStyle w:val="Verzeichnis3"/>
        <w:tabs>
          <w:tab w:val="left" w:pos="880"/>
          <w:tab w:val="right" w:leader="dot" w:pos="9627"/>
        </w:tabs>
        <w:rPr>
          <w:rFonts w:asciiTheme="minorHAnsi" w:eastAsiaTheme="minorEastAsia" w:hAnsiTheme="minorHAnsi" w:cstheme="minorBidi"/>
          <w:noProof/>
          <w:lang w:val="de-CH" w:eastAsia="de-CH"/>
        </w:rPr>
      </w:pPr>
      <w:hyperlink w:anchor="_Toc94114416" w:history="1">
        <w:r w:rsidR="009E45AE" w:rsidRPr="00744130">
          <w:rPr>
            <w:rStyle w:val="Hyperlink"/>
            <w:noProof/>
          </w:rPr>
          <w:t>D</w:t>
        </w:r>
        <w:r w:rsidR="009E45AE">
          <w:rPr>
            <w:rFonts w:asciiTheme="minorHAnsi" w:eastAsiaTheme="minorEastAsia" w:hAnsiTheme="minorHAnsi" w:cstheme="minorBidi"/>
            <w:noProof/>
            <w:lang w:val="de-CH" w:eastAsia="de-CH"/>
          </w:rPr>
          <w:tab/>
        </w:r>
        <w:r w:rsidR="009E45AE" w:rsidRPr="00744130">
          <w:rPr>
            <w:rStyle w:val="Hyperlink"/>
            <w:noProof/>
          </w:rPr>
          <w:t>Entrée en vigueur</w:t>
        </w:r>
        <w:r w:rsidR="009E45AE">
          <w:rPr>
            <w:noProof/>
            <w:webHidden/>
          </w:rPr>
          <w:tab/>
        </w:r>
        <w:r w:rsidR="009E45AE">
          <w:rPr>
            <w:noProof/>
            <w:webHidden/>
          </w:rPr>
          <w:fldChar w:fldCharType="begin"/>
        </w:r>
        <w:r w:rsidR="009E45AE">
          <w:rPr>
            <w:noProof/>
            <w:webHidden/>
          </w:rPr>
          <w:instrText xml:space="preserve"> PAGEREF _Toc94114416 \h </w:instrText>
        </w:r>
        <w:r w:rsidR="009E45AE">
          <w:rPr>
            <w:noProof/>
            <w:webHidden/>
          </w:rPr>
        </w:r>
        <w:r w:rsidR="009E45AE">
          <w:rPr>
            <w:noProof/>
            <w:webHidden/>
          </w:rPr>
          <w:fldChar w:fldCharType="separate"/>
        </w:r>
        <w:r>
          <w:rPr>
            <w:noProof/>
            <w:webHidden/>
          </w:rPr>
          <w:t>19</w:t>
        </w:r>
        <w:r w:rsidR="009E45AE">
          <w:rPr>
            <w:noProof/>
            <w:webHidden/>
          </w:rPr>
          <w:fldChar w:fldCharType="end"/>
        </w:r>
      </w:hyperlink>
    </w:p>
    <w:p w14:paraId="228A9642" w14:textId="7F6547F5" w:rsidR="009E45AE" w:rsidRDefault="00F82572">
      <w:pPr>
        <w:pStyle w:val="Verzeichnis2"/>
        <w:rPr>
          <w:rFonts w:asciiTheme="minorHAnsi" w:eastAsiaTheme="minorEastAsia" w:hAnsiTheme="minorHAnsi" w:cstheme="minorBidi"/>
          <w:noProof/>
          <w:lang w:val="de-CH" w:eastAsia="de-CH"/>
        </w:rPr>
      </w:pPr>
      <w:hyperlink w:anchor="_Toc94114417" w:history="1">
        <w:r w:rsidR="009E45AE" w:rsidRPr="00744130">
          <w:rPr>
            <w:rStyle w:val="Hyperlink"/>
            <w:noProof/>
          </w:rPr>
          <w:t>Annexes</w:t>
        </w:r>
        <w:r w:rsidR="009E45AE">
          <w:rPr>
            <w:noProof/>
            <w:webHidden/>
          </w:rPr>
          <w:tab/>
        </w:r>
        <w:r w:rsidR="009E45AE">
          <w:rPr>
            <w:noProof/>
            <w:webHidden/>
          </w:rPr>
          <w:fldChar w:fldCharType="begin"/>
        </w:r>
        <w:r w:rsidR="009E45AE">
          <w:rPr>
            <w:noProof/>
            <w:webHidden/>
          </w:rPr>
          <w:instrText xml:space="preserve"> PAGEREF _Toc94114417 \h </w:instrText>
        </w:r>
        <w:r w:rsidR="009E45AE">
          <w:rPr>
            <w:noProof/>
            <w:webHidden/>
          </w:rPr>
        </w:r>
        <w:r w:rsidR="009E45AE">
          <w:rPr>
            <w:noProof/>
            <w:webHidden/>
          </w:rPr>
          <w:fldChar w:fldCharType="separate"/>
        </w:r>
        <w:r>
          <w:rPr>
            <w:noProof/>
            <w:webHidden/>
          </w:rPr>
          <w:t>20</w:t>
        </w:r>
        <w:r w:rsidR="009E45AE">
          <w:rPr>
            <w:noProof/>
            <w:webHidden/>
          </w:rPr>
          <w:fldChar w:fldCharType="end"/>
        </w:r>
      </w:hyperlink>
    </w:p>
    <w:p w14:paraId="39B317ED" w14:textId="1F4FBED5" w:rsidR="009E45AE" w:rsidRDefault="00F82572">
      <w:pPr>
        <w:pStyle w:val="Verzeichnis3"/>
        <w:tabs>
          <w:tab w:val="right" w:leader="dot" w:pos="9627"/>
        </w:tabs>
        <w:rPr>
          <w:rFonts w:asciiTheme="minorHAnsi" w:eastAsiaTheme="minorEastAsia" w:hAnsiTheme="minorHAnsi" w:cstheme="minorBidi"/>
          <w:noProof/>
          <w:lang w:val="de-CH" w:eastAsia="de-CH"/>
        </w:rPr>
      </w:pPr>
      <w:hyperlink w:anchor="_Toc94114418" w:history="1">
        <w:r w:rsidR="009E45AE" w:rsidRPr="00744130">
          <w:rPr>
            <w:rStyle w:val="Hyperlink"/>
            <w:noProof/>
          </w:rPr>
          <w:t>Bulletin de souscription</w:t>
        </w:r>
        <w:r w:rsidR="009E45AE">
          <w:rPr>
            <w:noProof/>
            <w:webHidden/>
          </w:rPr>
          <w:tab/>
        </w:r>
        <w:r w:rsidR="009E45AE">
          <w:rPr>
            <w:noProof/>
            <w:webHidden/>
          </w:rPr>
          <w:fldChar w:fldCharType="begin"/>
        </w:r>
        <w:r w:rsidR="009E45AE">
          <w:rPr>
            <w:noProof/>
            <w:webHidden/>
          </w:rPr>
          <w:instrText xml:space="preserve"> PAGEREF _Toc94114418 \h </w:instrText>
        </w:r>
        <w:r w:rsidR="009E45AE">
          <w:rPr>
            <w:noProof/>
            <w:webHidden/>
          </w:rPr>
        </w:r>
        <w:r w:rsidR="009E45AE">
          <w:rPr>
            <w:noProof/>
            <w:webHidden/>
          </w:rPr>
          <w:fldChar w:fldCharType="separate"/>
        </w:r>
        <w:r>
          <w:rPr>
            <w:noProof/>
            <w:webHidden/>
          </w:rPr>
          <w:t>20</w:t>
        </w:r>
        <w:r w:rsidR="009E45AE">
          <w:rPr>
            <w:noProof/>
            <w:webHidden/>
          </w:rPr>
          <w:fldChar w:fldCharType="end"/>
        </w:r>
      </w:hyperlink>
    </w:p>
    <w:p w14:paraId="26A9B08C" w14:textId="52F81D5D" w:rsidR="009E45AE" w:rsidRDefault="00F82572">
      <w:pPr>
        <w:pStyle w:val="Verzeichnis3"/>
        <w:tabs>
          <w:tab w:val="right" w:leader="dot" w:pos="9627"/>
        </w:tabs>
        <w:rPr>
          <w:rFonts w:asciiTheme="minorHAnsi" w:eastAsiaTheme="minorEastAsia" w:hAnsiTheme="minorHAnsi" w:cstheme="minorBidi"/>
          <w:noProof/>
          <w:lang w:val="de-CH" w:eastAsia="de-CH"/>
        </w:rPr>
      </w:pPr>
      <w:hyperlink w:anchor="_Toc94114419" w:history="1">
        <w:r w:rsidR="009E45AE" w:rsidRPr="00744130">
          <w:rPr>
            <w:rStyle w:val="Hyperlink"/>
            <w:noProof/>
            <w:highlight w:val="yellow"/>
          </w:rPr>
          <w:t>[Définitions]</w:t>
        </w:r>
        <w:r w:rsidR="009E45AE">
          <w:rPr>
            <w:noProof/>
            <w:webHidden/>
          </w:rPr>
          <w:tab/>
        </w:r>
        <w:r w:rsidR="009E45AE">
          <w:rPr>
            <w:noProof/>
            <w:webHidden/>
          </w:rPr>
          <w:fldChar w:fldCharType="begin"/>
        </w:r>
        <w:r w:rsidR="009E45AE">
          <w:rPr>
            <w:noProof/>
            <w:webHidden/>
          </w:rPr>
          <w:instrText xml:space="preserve"> PAGEREF _Toc94114419 \h </w:instrText>
        </w:r>
        <w:r w:rsidR="009E45AE">
          <w:rPr>
            <w:noProof/>
            <w:webHidden/>
          </w:rPr>
        </w:r>
        <w:r w:rsidR="009E45AE">
          <w:rPr>
            <w:noProof/>
            <w:webHidden/>
          </w:rPr>
          <w:fldChar w:fldCharType="separate"/>
        </w:r>
        <w:r>
          <w:rPr>
            <w:noProof/>
            <w:webHidden/>
          </w:rPr>
          <w:t>20</w:t>
        </w:r>
        <w:r w:rsidR="009E45AE">
          <w:rPr>
            <w:noProof/>
            <w:webHidden/>
          </w:rPr>
          <w:fldChar w:fldCharType="end"/>
        </w:r>
      </w:hyperlink>
    </w:p>
    <w:p w14:paraId="07057EEA" w14:textId="77777777" w:rsidR="00BC2D73" w:rsidRPr="004C10BF" w:rsidRDefault="00CC64FC">
      <w:pPr>
        <w:rPr>
          <w:rFonts w:cs="Times New Roman"/>
          <w:sz w:val="8"/>
        </w:rPr>
      </w:pPr>
      <w:r w:rsidRPr="007C33AE">
        <w:rPr>
          <w:rFonts w:cs="Times New Roman"/>
        </w:rPr>
        <w:fldChar w:fldCharType="end"/>
      </w:r>
    </w:p>
    <w:tbl>
      <w:tblPr>
        <w:tblW w:w="9826" w:type="dxa"/>
        <w:tblLayout w:type="fixed"/>
        <w:tblLook w:val="01E0" w:firstRow="1" w:lastRow="1" w:firstColumn="1" w:lastColumn="1" w:noHBand="0" w:noVBand="0"/>
      </w:tblPr>
      <w:tblGrid>
        <w:gridCol w:w="9826"/>
      </w:tblGrid>
      <w:tr w:rsidR="003566FC" w:rsidRPr="003A5A1F" w14:paraId="7FE4BAB0" w14:textId="77777777" w:rsidTr="00C465E6">
        <w:tc>
          <w:tcPr>
            <w:tcW w:w="9826" w:type="dxa"/>
          </w:tcPr>
          <w:p w14:paraId="78E27859" w14:textId="77777777" w:rsidR="003566FC" w:rsidRPr="007C33AE" w:rsidRDefault="003566FC" w:rsidP="001802F1">
            <w:pPr>
              <w:pStyle w:val="berschrift2"/>
              <w:pageBreakBefore/>
            </w:pPr>
            <w:r>
              <w:lastRenderedPageBreak/>
              <w:br w:type="page"/>
            </w:r>
            <w:bookmarkStart w:id="1" w:name="_Toc94114386"/>
            <w:r>
              <w:t>Préambule</w:t>
            </w:r>
            <w:bookmarkEnd w:id="1"/>
          </w:p>
          <w:p w14:paraId="232FE805" w14:textId="77777777" w:rsidR="00BC2D73" w:rsidRPr="007C33AE" w:rsidRDefault="00BC2D73" w:rsidP="001802F1">
            <w:pPr>
              <w:pStyle w:val="StyleTitre2NonGras"/>
              <w:rPr>
                <w:rFonts w:cs="Times New Roman"/>
                <w:b w:val="0"/>
                <w:sz w:val="22"/>
                <w:lang w:val="fr-FR"/>
              </w:rPr>
            </w:pPr>
          </w:p>
        </w:tc>
      </w:tr>
      <w:tr w:rsidR="003566FC" w:rsidRPr="00E7533F" w14:paraId="5908F697" w14:textId="77777777" w:rsidTr="00C465E6">
        <w:tc>
          <w:tcPr>
            <w:tcW w:w="9826" w:type="dxa"/>
          </w:tcPr>
          <w:p w14:paraId="6073AAC9" w14:textId="4C57CC45" w:rsidR="003566FC" w:rsidRPr="00E7533F" w:rsidRDefault="003566FC">
            <w:pPr>
              <w:rPr>
                <w:rFonts w:cs="Times New Roman"/>
                <w:szCs w:val="24"/>
              </w:rPr>
            </w:pPr>
            <w:r>
              <w:t xml:space="preserve">Les Commanditaires et la SA indéfiniment responsable entendent créer une société en commandite de placements collectifs aux fins de procéder à un investissement unique dans </w:t>
            </w:r>
            <w:r>
              <w:rPr>
                <w:rStyle w:val="AuswahltextZchn"/>
              </w:rPr>
              <w:t>[</w:t>
            </w:r>
            <w:r>
              <w:rPr>
                <w:rStyle w:val="AuswahltextZchn"/>
                <w:highlight w:val="yellow"/>
              </w:rPr>
              <w:t>domaine d’investissement</w:t>
            </w:r>
            <w:r>
              <w:rPr>
                <w:rStyle w:val="AuswahltextZchn"/>
              </w:rPr>
              <w:t>]</w:t>
            </w:r>
            <w:r>
              <w:t>. La société en commandite est régie par (i) la loi fédérale sur les placements collectifs de capitaux (ci-après</w:t>
            </w:r>
            <w:proofErr w:type="gramStart"/>
            <w:r>
              <w:t xml:space="preserve"> «</w:t>
            </w:r>
            <w:r>
              <w:rPr>
                <w:b/>
              </w:rPr>
              <w:t>LPCC</w:t>
            </w:r>
            <w:proofErr w:type="gramEnd"/>
            <w:r>
              <w:t>») et les ordonnances d’application du Conseil fédéral (ci-après «</w:t>
            </w:r>
            <w:r>
              <w:rPr>
                <w:b/>
              </w:rPr>
              <w:t>OPCC</w:t>
            </w:r>
            <w:r>
              <w:t>») et l’Autorité fédérale de surveillance des marchés financiers FINMA (ci-après «</w:t>
            </w:r>
            <w:r>
              <w:rPr>
                <w:b/>
              </w:rPr>
              <w:t>OPC-FINMA</w:t>
            </w:r>
            <w:r>
              <w:t>»), (ii) la loi fédérale sur les services financiers (ci-après «</w:t>
            </w:r>
            <w:r>
              <w:rPr>
                <w:b/>
              </w:rPr>
              <w:t>LSFin</w:t>
            </w:r>
            <w:r>
              <w:t>») et l’ordonnance d’application du Conseil fédéral (ci-après «</w:t>
            </w:r>
            <w:r>
              <w:rPr>
                <w:b/>
              </w:rPr>
              <w:t>OSFin»</w:t>
            </w:r>
            <w:r>
              <w:t>) ainsi que (iii) les dispositions du Code des obligations (ci-après «CO»). Elle est soumise à la surveillance de l’Autorité fédérale de surveillance des marchés financiers (ci-après</w:t>
            </w:r>
            <w:proofErr w:type="gramStart"/>
            <w:r>
              <w:t xml:space="preserve"> «</w:t>
            </w:r>
            <w:r>
              <w:rPr>
                <w:b/>
              </w:rPr>
              <w:t>FINMA</w:t>
            </w:r>
            <w:proofErr w:type="gramEnd"/>
            <w:r>
              <w:rPr>
                <w:b/>
              </w:rPr>
              <w:t>»</w:t>
            </w:r>
            <w:r>
              <w:t>).</w:t>
            </w:r>
          </w:p>
          <w:p w14:paraId="506BBA2F" w14:textId="77777777" w:rsidR="00252C08" w:rsidRPr="009E45AE" w:rsidRDefault="00252C08">
            <w:pPr>
              <w:rPr>
                <w:rFonts w:cs="Times New Roman"/>
                <w:szCs w:val="24"/>
              </w:rPr>
            </w:pPr>
          </w:p>
          <w:p w14:paraId="4FD27CC2" w14:textId="77777777" w:rsidR="00252C08" w:rsidRPr="009E45AE" w:rsidRDefault="00252C08">
            <w:pPr>
              <w:rPr>
                <w:rFonts w:cs="Times New Roman"/>
                <w:szCs w:val="24"/>
              </w:rPr>
            </w:pPr>
          </w:p>
        </w:tc>
      </w:tr>
      <w:tr w:rsidR="003566FC" w:rsidRPr="003A5A1F" w14:paraId="40412885" w14:textId="77777777" w:rsidTr="00C465E6">
        <w:tc>
          <w:tcPr>
            <w:tcW w:w="9826" w:type="dxa"/>
          </w:tcPr>
          <w:p w14:paraId="47E8F012" w14:textId="7677C787" w:rsidR="003566FC" w:rsidRPr="007C33AE" w:rsidRDefault="002C7848" w:rsidP="00D975B0">
            <w:pPr>
              <w:pStyle w:val="berschrift2"/>
            </w:pPr>
            <w:bookmarkStart w:id="2" w:name="_Toc94114387"/>
            <w:r>
              <w:t>I</w:t>
            </w:r>
            <w:r>
              <w:tab/>
              <w:t>La société en commandite</w:t>
            </w:r>
            <w:bookmarkEnd w:id="2"/>
          </w:p>
          <w:p w14:paraId="4E4ECDFC" w14:textId="77777777" w:rsidR="003566FC" w:rsidRPr="007C33AE" w:rsidRDefault="003566FC">
            <w:pPr>
              <w:rPr>
                <w:rFonts w:cs="Times New Roman"/>
                <w:szCs w:val="24"/>
                <w:lang w:val="fr-FR"/>
              </w:rPr>
            </w:pPr>
          </w:p>
        </w:tc>
      </w:tr>
      <w:tr w:rsidR="003566FC" w:rsidRPr="006C3A4D" w14:paraId="26ACD49B" w14:textId="77777777" w:rsidTr="00C465E6">
        <w:tc>
          <w:tcPr>
            <w:tcW w:w="9826" w:type="dxa"/>
          </w:tcPr>
          <w:p w14:paraId="1EBC4658" w14:textId="5EB2851B" w:rsidR="003566FC" w:rsidRPr="007C33AE" w:rsidRDefault="006322E0" w:rsidP="00D975B0">
            <w:pPr>
              <w:pStyle w:val="berschrift3"/>
            </w:pPr>
            <w:bookmarkStart w:id="3" w:name="_Toc94114388"/>
            <w:r>
              <w:t>A</w:t>
            </w:r>
            <w:r>
              <w:tab/>
              <w:t>Raison sociale, but et organes</w:t>
            </w:r>
            <w:bookmarkEnd w:id="3"/>
          </w:p>
          <w:p w14:paraId="37E35125" w14:textId="77777777" w:rsidR="003566FC" w:rsidRPr="007C33AE" w:rsidRDefault="003566FC">
            <w:pPr>
              <w:rPr>
                <w:rFonts w:cs="Times New Roman"/>
                <w:szCs w:val="24"/>
                <w:lang w:val="fr-FR"/>
              </w:rPr>
            </w:pPr>
          </w:p>
        </w:tc>
      </w:tr>
      <w:tr w:rsidR="003566FC" w:rsidRPr="006C3A4D" w14:paraId="336B4D4B" w14:textId="77777777" w:rsidTr="00C465E6">
        <w:tc>
          <w:tcPr>
            <w:tcW w:w="9826" w:type="dxa"/>
          </w:tcPr>
          <w:p w14:paraId="4F6501D2" w14:textId="77777777" w:rsidR="003566FC" w:rsidRPr="007C33AE" w:rsidRDefault="003566FC">
            <w:pPr>
              <w:pStyle w:val="Einzug1"/>
              <w:rPr>
                <w:rFonts w:cs="Times New Roman"/>
                <w:szCs w:val="24"/>
              </w:rPr>
            </w:pPr>
            <w:r>
              <w:t>1.</w:t>
            </w:r>
            <w:r>
              <w:tab/>
              <w:t xml:space="preserve">Il est formé sous la raison sociale </w:t>
            </w:r>
            <w:r>
              <w:rPr>
                <w:color w:val="FF0000"/>
              </w:rPr>
              <w:t>[</w:t>
            </w:r>
            <w:r>
              <w:rPr>
                <w:color w:val="FF0000"/>
                <w:highlight w:val="yellow"/>
              </w:rPr>
              <w:t>raison sociale de la SCmPC</w:t>
            </w:r>
            <w:r>
              <w:rPr>
                <w:color w:val="FF0000"/>
              </w:rPr>
              <w:t>]</w:t>
            </w:r>
            <w:r w:rsidR="002C5424" w:rsidRPr="00970D04">
              <w:rPr>
                <w:rStyle w:val="Funotenzeichen"/>
                <w:szCs w:val="24"/>
                <w:lang w:val="fr-FR"/>
              </w:rPr>
              <w:footnoteReference w:id="7"/>
            </w:r>
            <w:r>
              <w:t xml:space="preserve"> une société en commandite de placements collectifs au sens des articles 98 et suivants LPCC avec un siège à </w:t>
            </w:r>
            <w:r>
              <w:rPr>
                <w:rStyle w:val="AuswahltextZchn"/>
              </w:rPr>
              <w:t>[</w:t>
            </w:r>
            <w:r>
              <w:rPr>
                <w:rStyle w:val="AuswahltextZchn"/>
                <w:highlight w:val="yellow"/>
              </w:rPr>
              <w:t>lieu</w:t>
            </w:r>
            <w:r>
              <w:rPr>
                <w:rStyle w:val="AuswahltextZchn"/>
              </w:rPr>
              <w:t>]</w:t>
            </w:r>
            <w:r>
              <w:t xml:space="preserve"> (ci-après la</w:t>
            </w:r>
            <w:proofErr w:type="gramStart"/>
            <w:r>
              <w:t xml:space="preserve"> </w:t>
            </w:r>
            <w:r>
              <w:rPr>
                <w:sz w:val="24"/>
              </w:rPr>
              <w:t>«</w:t>
            </w:r>
            <w:r>
              <w:rPr>
                <w:b/>
              </w:rPr>
              <w:t>Société</w:t>
            </w:r>
            <w:proofErr w:type="gramEnd"/>
            <w:r>
              <w:t>»).</w:t>
            </w:r>
          </w:p>
          <w:p w14:paraId="7103A203" w14:textId="77777777" w:rsidR="003566FC" w:rsidRPr="007C33AE" w:rsidRDefault="003566FC">
            <w:pPr>
              <w:rPr>
                <w:rFonts w:cs="Times New Roman"/>
                <w:szCs w:val="24"/>
                <w:lang w:val="fr-FR"/>
              </w:rPr>
            </w:pPr>
          </w:p>
        </w:tc>
      </w:tr>
      <w:tr w:rsidR="003566FC" w:rsidRPr="006C3A4D" w14:paraId="52BFBFF4" w14:textId="77777777" w:rsidTr="00C465E6">
        <w:tc>
          <w:tcPr>
            <w:tcW w:w="9826" w:type="dxa"/>
          </w:tcPr>
          <w:p w14:paraId="368107FE" w14:textId="77777777" w:rsidR="00D24DAF" w:rsidRPr="007C33AE" w:rsidRDefault="003566FC" w:rsidP="001802F1">
            <w:pPr>
              <w:spacing w:line="280" w:lineRule="exact"/>
              <w:ind w:left="720" w:right="-27" w:hanging="720"/>
              <w:rPr>
                <w:rFonts w:ascii="Times New Roman" w:hAnsi="Times New Roman"/>
              </w:rPr>
            </w:pPr>
            <w:r>
              <w:t>2.</w:t>
            </w:r>
            <w:r>
              <w:tab/>
              <w:t xml:space="preserve">Le but social exclusif de la Société est le placement collectif de capitaux en </w:t>
            </w:r>
            <w:r>
              <w:rPr>
                <w:rStyle w:val="AuswahltextZchn"/>
              </w:rPr>
              <w:t>[</w:t>
            </w:r>
            <w:r>
              <w:rPr>
                <w:rStyle w:val="AuswahltextZchn"/>
                <w:highlight w:val="yellow"/>
              </w:rPr>
              <w:t>domaine d’investissement</w:t>
            </w:r>
            <w:r>
              <w:rPr>
                <w:rStyle w:val="AuswahltextZchn1"/>
              </w:rPr>
              <w:t>]</w:t>
            </w:r>
            <w:r w:rsidR="002C5424" w:rsidRPr="00970D04">
              <w:rPr>
                <w:rStyle w:val="Funotenzeichen"/>
                <w:snapToGrid w:val="0"/>
                <w:lang w:val="fr-FR" w:eastAsia="fr-FR"/>
              </w:rPr>
              <w:footnoteReference w:id="8"/>
            </w:r>
            <w:r>
              <w:rPr>
                <w:rStyle w:val="AuswahltextZchn"/>
                <w:color w:val="auto"/>
              </w:rPr>
              <w:t>, conformément aux</w:t>
            </w:r>
            <w:r>
              <w:t xml:space="preserve"> chiffres 21 et suivants. La Société peut entreprendre toutes transactions et actes juridiques en rapport direct ou indirect avec son but.</w:t>
            </w:r>
          </w:p>
          <w:p w14:paraId="0F1C7BA2" w14:textId="77777777" w:rsidR="003566FC" w:rsidRPr="007C33AE" w:rsidRDefault="003566FC">
            <w:pPr>
              <w:pStyle w:val="Einzug1"/>
              <w:rPr>
                <w:rFonts w:cs="Times New Roman"/>
                <w:szCs w:val="24"/>
                <w:lang w:val="fr-FR"/>
              </w:rPr>
            </w:pPr>
          </w:p>
        </w:tc>
      </w:tr>
      <w:tr w:rsidR="003566FC" w:rsidRPr="006C3A4D" w14:paraId="1477C77B" w14:textId="77777777" w:rsidTr="00C465E6">
        <w:tc>
          <w:tcPr>
            <w:tcW w:w="9826" w:type="dxa"/>
          </w:tcPr>
          <w:p w14:paraId="2133E622" w14:textId="77777777" w:rsidR="003566FC" w:rsidRPr="007C33AE" w:rsidRDefault="003566FC">
            <w:pPr>
              <w:pStyle w:val="Einzug1"/>
              <w:rPr>
                <w:rFonts w:cs="Times New Roman"/>
                <w:szCs w:val="24"/>
              </w:rPr>
            </w:pPr>
            <w:r>
              <w:t>3.</w:t>
            </w:r>
            <w:r>
              <w:tab/>
              <w:t xml:space="preserve">Les organes de la Société sont (a) </w:t>
            </w:r>
            <w:r>
              <w:rPr>
                <w:b/>
              </w:rPr>
              <w:t>l’Assemblée des associés</w:t>
            </w:r>
            <w:r>
              <w:t xml:space="preserve">, composée des Commanditaires et de la SA indéfiniment responsable, (b) la </w:t>
            </w:r>
            <w:r>
              <w:rPr>
                <w:b/>
              </w:rPr>
              <w:t>SA indéfiniment responsable</w:t>
            </w:r>
            <w:r>
              <w:t xml:space="preserve"> ainsi que (c) </w:t>
            </w:r>
            <w:r>
              <w:rPr>
                <w:b/>
              </w:rPr>
              <w:t>la Société d’audit/l’Organe de révision</w:t>
            </w:r>
            <w:r w:rsidR="002C5424" w:rsidRPr="007C33AE">
              <w:rPr>
                <w:rStyle w:val="Funotenzeichen"/>
                <w:b/>
                <w:szCs w:val="24"/>
                <w:lang w:val="fr-FR"/>
              </w:rPr>
              <w:footnoteReference w:id="9"/>
            </w:r>
            <w:r>
              <w:t>.</w:t>
            </w:r>
          </w:p>
          <w:p w14:paraId="5F106ECE" w14:textId="77777777" w:rsidR="003566FC" w:rsidRPr="007C33AE" w:rsidRDefault="003566FC">
            <w:pPr>
              <w:rPr>
                <w:rFonts w:cs="Times New Roman"/>
                <w:szCs w:val="24"/>
                <w:lang w:val="fr-FR"/>
              </w:rPr>
            </w:pPr>
          </w:p>
        </w:tc>
      </w:tr>
      <w:tr w:rsidR="003566FC" w:rsidRPr="00E85EEB" w14:paraId="7367FC12" w14:textId="77777777" w:rsidTr="00C465E6">
        <w:tc>
          <w:tcPr>
            <w:tcW w:w="9826" w:type="dxa"/>
          </w:tcPr>
          <w:p w14:paraId="6D749632" w14:textId="77777777" w:rsidR="00E85EEB" w:rsidRPr="0003737E" w:rsidRDefault="003566FC" w:rsidP="00E85EEB">
            <w:pPr>
              <w:pStyle w:val="Einzug1"/>
            </w:pPr>
            <w:r>
              <w:t>4.</w:t>
            </w:r>
            <w:r>
              <w:tab/>
              <w:t xml:space="preserve">La Société désigne en outre un service de paiement </w:t>
            </w:r>
            <w:r>
              <w:rPr>
                <w:rStyle w:val="AuswahltextZchn"/>
                <w:highlight w:val="yellow"/>
              </w:rPr>
              <w:t>[et un service de dépôts ainsi qu’un dépositaire]</w:t>
            </w:r>
            <w:r w:rsidR="00E85EEB" w:rsidRPr="0003737E">
              <w:rPr>
                <w:rStyle w:val="AuswahltextZchn"/>
                <w:color w:val="auto"/>
                <w:vertAlign w:val="superscript"/>
              </w:rPr>
              <w:footnoteReference w:id="10"/>
            </w:r>
            <w:r>
              <w:t xml:space="preserve">. La SA indéfiniment responsable peut à tout moment modifier librement le service de paiement </w:t>
            </w:r>
            <w:r>
              <w:rPr>
                <w:rStyle w:val="AuswahltextZchn"/>
              </w:rPr>
              <w:t>[</w:t>
            </w:r>
            <w:r w:rsidRPr="003272C7">
              <w:rPr>
                <w:rStyle w:val="AuswahltextZchn"/>
                <w:highlight w:val="yellow"/>
              </w:rPr>
              <w:t>et le service de dépôts ainsi que le dépositaire</w:t>
            </w:r>
            <w:r>
              <w:rPr>
                <w:rStyle w:val="AuswahltextZchn"/>
              </w:rPr>
              <w:t>]</w:t>
            </w:r>
            <w:r>
              <w:t>.</w:t>
            </w:r>
          </w:p>
          <w:p w14:paraId="13DDED6A" w14:textId="77777777" w:rsidR="00E85EEB" w:rsidRDefault="00E85EEB">
            <w:pPr>
              <w:rPr>
                <w:rFonts w:cs="Times New Roman"/>
                <w:szCs w:val="24"/>
              </w:rPr>
            </w:pPr>
          </w:p>
          <w:p w14:paraId="153D8019" w14:textId="1D2E4A1D" w:rsidR="006B61CF" w:rsidRPr="00E85EEB" w:rsidRDefault="006B61CF">
            <w:pPr>
              <w:rPr>
                <w:rFonts w:cs="Times New Roman"/>
                <w:szCs w:val="24"/>
              </w:rPr>
            </w:pPr>
          </w:p>
        </w:tc>
      </w:tr>
      <w:tr w:rsidR="003566FC" w:rsidRPr="003A5A1F" w14:paraId="0F705A18" w14:textId="77777777" w:rsidTr="00C465E6">
        <w:tc>
          <w:tcPr>
            <w:tcW w:w="9826" w:type="dxa"/>
          </w:tcPr>
          <w:p w14:paraId="773E3932" w14:textId="6975400E" w:rsidR="00214286" w:rsidRPr="007C33AE" w:rsidRDefault="003566FC" w:rsidP="006B61CF">
            <w:pPr>
              <w:pStyle w:val="berschrift3"/>
              <w:pageBreakBefore/>
            </w:pPr>
            <w:bookmarkStart w:id="4" w:name="_Toc94114389"/>
            <w:r>
              <w:lastRenderedPageBreak/>
              <w:t>B</w:t>
            </w:r>
            <w:r>
              <w:tab/>
              <w:t>Durée</w:t>
            </w:r>
            <w:bookmarkEnd w:id="4"/>
          </w:p>
          <w:p w14:paraId="29251A58" w14:textId="77777777" w:rsidR="00BC2D73" w:rsidRPr="007C33AE" w:rsidRDefault="00BC2D73" w:rsidP="005F0443">
            <w:pPr>
              <w:rPr>
                <w:lang w:val="fr-FR"/>
              </w:rPr>
            </w:pPr>
          </w:p>
        </w:tc>
      </w:tr>
      <w:tr w:rsidR="003566FC" w:rsidRPr="00E85EEB" w14:paraId="77916365" w14:textId="77777777" w:rsidTr="00C465E6">
        <w:tc>
          <w:tcPr>
            <w:tcW w:w="9826" w:type="dxa"/>
          </w:tcPr>
          <w:p w14:paraId="1A5C9827" w14:textId="77777777" w:rsidR="00E85EEB" w:rsidRPr="0003737E" w:rsidRDefault="003566FC" w:rsidP="00E85EEB">
            <w:pPr>
              <w:pStyle w:val="Einzug1"/>
            </w:pPr>
            <w:r>
              <w:t>5.</w:t>
            </w:r>
            <w:r>
              <w:tab/>
              <w:t xml:space="preserve">La durée de la Société est de </w:t>
            </w:r>
            <w:r w:rsidRPr="00D13CE7">
              <w:rPr>
                <w:rStyle w:val="AuswahltextZchn"/>
                <w:highlight w:val="yellow"/>
              </w:rPr>
              <w:t>[nombre d’années (p. ex. 8)]</w:t>
            </w:r>
            <w:r w:rsidR="00E85EEB" w:rsidRPr="0003737E">
              <w:rPr>
                <w:rStyle w:val="AuswahltextZchn"/>
                <w:color w:val="auto"/>
                <w:vertAlign w:val="superscript"/>
              </w:rPr>
              <w:footnoteReference w:id="11"/>
            </w:r>
            <w:r>
              <w:t xml:space="preserve"> ans </w:t>
            </w:r>
            <w:r>
              <w:rPr>
                <w:rStyle w:val="AuswahltextZchn"/>
                <w:highlight w:val="yellow"/>
              </w:rPr>
              <w:t xml:space="preserve">[p. ex. </w:t>
            </w:r>
            <w:r w:rsidRPr="003272C7">
              <w:rPr>
                <w:rStyle w:val="AuswahltextZchn"/>
                <w:highlight w:val="yellow"/>
              </w:rPr>
              <w:t xml:space="preserve">à partir </w:t>
            </w:r>
            <w:r>
              <w:rPr>
                <w:rStyle w:val="AuswahltextZchn"/>
                <w:highlight w:val="yellow"/>
              </w:rPr>
              <w:t>de l’inscription au registre du commerce ou de la première clôture de la période de souscription]</w:t>
            </w:r>
            <w:r>
              <w:t>, sous réserve d’éventuelles prolongations décidées par l’Assemblée des associés (ci-après chiffre 39, let. </w:t>
            </w:r>
            <w:proofErr w:type="gramStart"/>
            <w:r>
              <w:t>b</w:t>
            </w:r>
            <w:proofErr w:type="gramEnd"/>
            <w:r>
              <w:t>).</w:t>
            </w:r>
          </w:p>
          <w:p w14:paraId="643D0011" w14:textId="6D45DA58" w:rsidR="003566FC" w:rsidRPr="00E85EEB" w:rsidRDefault="003566FC">
            <w:pPr>
              <w:pStyle w:val="Einzug1"/>
              <w:rPr>
                <w:rFonts w:cs="Times New Roman"/>
                <w:szCs w:val="24"/>
              </w:rPr>
            </w:pPr>
          </w:p>
          <w:p w14:paraId="1338729B" w14:textId="77777777" w:rsidR="003566FC" w:rsidRPr="009E45AE" w:rsidRDefault="003566FC">
            <w:pPr>
              <w:pStyle w:val="Einzug1"/>
              <w:rPr>
                <w:rFonts w:cs="Times New Roman"/>
                <w:szCs w:val="24"/>
              </w:rPr>
            </w:pPr>
          </w:p>
        </w:tc>
      </w:tr>
      <w:tr w:rsidR="003566FC" w:rsidRPr="006C3A4D" w14:paraId="7E7B69D2" w14:textId="77777777" w:rsidTr="00C465E6">
        <w:tc>
          <w:tcPr>
            <w:tcW w:w="9826" w:type="dxa"/>
          </w:tcPr>
          <w:p w14:paraId="1F9F17A6" w14:textId="33FD8068" w:rsidR="003566FC" w:rsidRPr="007C33AE" w:rsidRDefault="003566FC">
            <w:pPr>
              <w:pStyle w:val="Einzug1"/>
              <w:rPr>
                <w:rFonts w:cs="Times New Roman"/>
                <w:szCs w:val="24"/>
              </w:rPr>
            </w:pPr>
            <w:bookmarkStart w:id="5" w:name="_Ref149043675"/>
            <w:r>
              <w:t>6.</w:t>
            </w:r>
            <w:r>
              <w:tab/>
              <w:t xml:space="preserve">Après expiration du délai de souscription, la Société investit durant la phase d’investissement de </w:t>
            </w:r>
            <w:r>
              <w:rPr>
                <w:rStyle w:val="AuswahltextZchn"/>
              </w:rPr>
              <w:t>[</w:t>
            </w:r>
            <w:r>
              <w:rPr>
                <w:rStyle w:val="AuswahltextZchn"/>
                <w:highlight w:val="yellow"/>
              </w:rPr>
              <w:t>nombre d’années (p.ex. 3-5 ans)</w:t>
            </w:r>
            <w:r>
              <w:rPr>
                <w:rStyle w:val="AuswahltextZchn"/>
              </w:rPr>
              <w:t>]</w:t>
            </w:r>
            <w:r>
              <w:t xml:space="preserve"> (ci-après</w:t>
            </w:r>
            <w:proofErr w:type="gramStart"/>
            <w:r>
              <w:t xml:space="preserve"> </w:t>
            </w:r>
            <w:r>
              <w:rPr>
                <w:sz w:val="24"/>
              </w:rPr>
              <w:t>«</w:t>
            </w:r>
            <w:r>
              <w:rPr>
                <w:b/>
              </w:rPr>
              <w:t>Phase</w:t>
            </w:r>
            <w:proofErr w:type="gramEnd"/>
            <w:r>
              <w:rPr>
                <w:b/>
              </w:rPr>
              <w:t xml:space="preserve"> d’Investissement</w:t>
            </w:r>
            <w:r>
              <w:t>») dans des placements conformes aux chiffres 21 et suivants. Après la Phase d’Investissement, l’activité de la Société se concentre sur le suivi et la liquidation progressive des placements.</w:t>
            </w:r>
            <w:bookmarkEnd w:id="5"/>
          </w:p>
          <w:p w14:paraId="355AFBD2" w14:textId="77777777" w:rsidR="005F0443" w:rsidRPr="007C33AE" w:rsidRDefault="005F0443" w:rsidP="005F0443">
            <w:pPr>
              <w:rPr>
                <w:lang w:val="fr-FR"/>
              </w:rPr>
            </w:pPr>
          </w:p>
        </w:tc>
      </w:tr>
      <w:tr w:rsidR="003566FC" w:rsidRPr="006C3A4D" w14:paraId="5D05C4DB" w14:textId="77777777" w:rsidTr="00C465E6">
        <w:tc>
          <w:tcPr>
            <w:tcW w:w="9826" w:type="dxa"/>
          </w:tcPr>
          <w:p w14:paraId="5F97A8E1" w14:textId="5F4461A9" w:rsidR="003566FC" w:rsidRPr="007C33AE" w:rsidRDefault="003566FC" w:rsidP="005F0443">
            <w:pPr>
              <w:pStyle w:val="Einzug1"/>
              <w:rPr>
                <w:rFonts w:cs="Times New Roman"/>
                <w:szCs w:val="24"/>
              </w:rPr>
            </w:pPr>
            <w:r>
              <w:t>7.</w:t>
            </w:r>
            <w:r>
              <w:tab/>
              <w:t>À l’issue de la Phase d’Investissement, de nouveaux investissements ne sont autorisés que dans les cas exceptionnels prévus dans le présent contrat. D’autre part, sous réserve des exceptions figurant dans le présent contrat (cf. chiffre 39, let. </w:t>
            </w:r>
            <w:proofErr w:type="gramStart"/>
            <w:r>
              <w:t>a</w:t>
            </w:r>
            <w:proofErr w:type="gramEnd"/>
            <w:r>
              <w:t>), le produit découlant de la liquidation des investissements n’est pas réinvesti, mais distribué aux associés conformément au présent contrat.</w:t>
            </w:r>
          </w:p>
          <w:p w14:paraId="5836A8DD" w14:textId="77777777" w:rsidR="003566FC" w:rsidRPr="007C33AE" w:rsidRDefault="003566FC" w:rsidP="007D7157">
            <w:pPr>
              <w:rPr>
                <w:lang w:val="fr-FR"/>
              </w:rPr>
            </w:pPr>
          </w:p>
          <w:p w14:paraId="43F8FA0E" w14:textId="77777777" w:rsidR="00252C08" w:rsidRDefault="00252C08" w:rsidP="007D7157">
            <w:pPr>
              <w:rPr>
                <w:lang w:val="fr-FR"/>
              </w:rPr>
            </w:pPr>
          </w:p>
          <w:p w14:paraId="419DC7C6" w14:textId="77777777" w:rsidR="007D7157" w:rsidRPr="007C33AE" w:rsidRDefault="007D7157" w:rsidP="007D7157">
            <w:pPr>
              <w:rPr>
                <w:lang w:val="fr-FR"/>
              </w:rPr>
            </w:pPr>
          </w:p>
        </w:tc>
      </w:tr>
      <w:tr w:rsidR="003566FC" w:rsidRPr="003A5A1F" w14:paraId="745D6734" w14:textId="77777777" w:rsidTr="00C465E6">
        <w:tc>
          <w:tcPr>
            <w:tcW w:w="9826" w:type="dxa"/>
          </w:tcPr>
          <w:p w14:paraId="415DDBCD" w14:textId="19189723" w:rsidR="003566FC" w:rsidRPr="007D7157" w:rsidRDefault="002C7848" w:rsidP="007D7157">
            <w:pPr>
              <w:pStyle w:val="berschrift2"/>
            </w:pPr>
            <w:bookmarkStart w:id="6" w:name="_Toc94114390"/>
            <w:r>
              <w:t>II</w:t>
            </w:r>
            <w:r>
              <w:tab/>
              <w:t>Capital</w:t>
            </w:r>
            <w:bookmarkEnd w:id="6"/>
          </w:p>
          <w:p w14:paraId="48C623EF" w14:textId="77777777" w:rsidR="003566FC" w:rsidRPr="007C33AE" w:rsidRDefault="003566FC" w:rsidP="005F0443">
            <w:pPr>
              <w:rPr>
                <w:lang w:val="fr-FR"/>
              </w:rPr>
            </w:pPr>
          </w:p>
        </w:tc>
      </w:tr>
      <w:tr w:rsidR="003566FC" w:rsidRPr="003A5A1F" w14:paraId="7B7A22EC" w14:textId="77777777" w:rsidTr="00C465E6">
        <w:tc>
          <w:tcPr>
            <w:tcW w:w="9826" w:type="dxa"/>
          </w:tcPr>
          <w:p w14:paraId="3E4D3EDC" w14:textId="53FAAF46" w:rsidR="003566FC" w:rsidRPr="007C33AE" w:rsidRDefault="005F0443" w:rsidP="00D975B0">
            <w:pPr>
              <w:pStyle w:val="berschrift3"/>
            </w:pPr>
            <w:bookmarkStart w:id="7" w:name="_Toc94114391"/>
            <w:r>
              <w:t>A</w:t>
            </w:r>
            <w:r>
              <w:tab/>
              <w:t>Commandite</w:t>
            </w:r>
            <w:bookmarkEnd w:id="7"/>
          </w:p>
          <w:p w14:paraId="34715943" w14:textId="77777777" w:rsidR="003566FC" w:rsidRPr="007C33AE" w:rsidRDefault="003566FC" w:rsidP="005F0443">
            <w:pPr>
              <w:rPr>
                <w:lang w:val="fr-FR"/>
              </w:rPr>
            </w:pPr>
          </w:p>
        </w:tc>
      </w:tr>
      <w:tr w:rsidR="003566FC" w:rsidRPr="006C3A4D" w14:paraId="31A01D26" w14:textId="77777777" w:rsidTr="00C465E6">
        <w:tc>
          <w:tcPr>
            <w:tcW w:w="9826" w:type="dxa"/>
          </w:tcPr>
          <w:p w14:paraId="179AB1CC" w14:textId="77777777" w:rsidR="003566FC" w:rsidRPr="007C33AE" w:rsidRDefault="003566FC">
            <w:pPr>
              <w:pStyle w:val="Einzug1"/>
              <w:rPr>
                <w:rFonts w:cs="Times New Roman"/>
                <w:szCs w:val="24"/>
              </w:rPr>
            </w:pPr>
            <w:r>
              <w:t>8.</w:t>
            </w:r>
            <w:r>
              <w:tab/>
              <w:t xml:space="preserve">Le montant de la commandite s’élève à CHF </w:t>
            </w:r>
            <w:r>
              <w:rPr>
                <w:rStyle w:val="AuswahltextZchn"/>
              </w:rPr>
              <w:t>[</w:t>
            </w:r>
            <w:r>
              <w:rPr>
                <w:rStyle w:val="AuswahltextZchn"/>
                <w:highlight w:val="yellow"/>
              </w:rPr>
              <w:t>montant en chiffres</w:t>
            </w:r>
            <w:r>
              <w:rPr>
                <w:rStyle w:val="AuswahltextZchn"/>
              </w:rPr>
              <w:t>]</w:t>
            </w:r>
            <w:r>
              <w:t xml:space="preserve"> (</w:t>
            </w:r>
            <w:r>
              <w:rPr>
                <w:rStyle w:val="AuswahltextZchn"/>
              </w:rPr>
              <w:t>[</w:t>
            </w:r>
            <w:r>
              <w:rPr>
                <w:rStyle w:val="AuswahltextZchn"/>
                <w:highlight w:val="yellow"/>
              </w:rPr>
              <w:t>montant en lettres</w:t>
            </w:r>
            <w:r>
              <w:rPr>
                <w:rStyle w:val="AuswahltextZchn"/>
              </w:rPr>
              <w:t>]</w:t>
            </w:r>
            <w:r>
              <w:t xml:space="preserve">), subdivisé en </w:t>
            </w:r>
            <w:r>
              <w:rPr>
                <w:rStyle w:val="AuswahltextZchn"/>
              </w:rPr>
              <w:t>[</w:t>
            </w:r>
            <w:r>
              <w:rPr>
                <w:rStyle w:val="AuswahltextZchn"/>
                <w:highlight w:val="yellow"/>
              </w:rPr>
              <w:t>nombre de parts de commandite</w:t>
            </w:r>
            <w:r>
              <w:rPr>
                <w:rStyle w:val="AuswahltextZchn"/>
              </w:rPr>
              <w:t>]</w:t>
            </w:r>
            <w:r>
              <w:t xml:space="preserve"> parts de commandite de </w:t>
            </w:r>
            <w:r>
              <w:rPr>
                <w:rStyle w:val="AuswahltextZchn"/>
              </w:rPr>
              <w:t>[</w:t>
            </w:r>
            <w:r>
              <w:rPr>
                <w:rStyle w:val="AuswahltextZchn"/>
                <w:highlight w:val="yellow"/>
              </w:rPr>
              <w:t>montant en francs</w:t>
            </w:r>
            <w:r>
              <w:rPr>
                <w:rStyle w:val="AuswahltextZchn"/>
              </w:rPr>
              <w:t>]</w:t>
            </w:r>
            <w:r>
              <w:t xml:space="preserve"> francs (ci-après les</w:t>
            </w:r>
            <w:proofErr w:type="gramStart"/>
            <w:r>
              <w:t xml:space="preserve"> </w:t>
            </w:r>
            <w:r>
              <w:rPr>
                <w:sz w:val="24"/>
              </w:rPr>
              <w:t>«</w:t>
            </w:r>
            <w:r>
              <w:rPr>
                <w:b/>
              </w:rPr>
              <w:t>Commandites</w:t>
            </w:r>
            <w:proofErr w:type="gramEnd"/>
            <w:r>
              <w:t>»). Lors de la fondation de la Société, les Commanditaires versent leur part du montant total de la commandite. Cette somme est inscrite au Registre du commerce en tant que substrat de responsabilité et n’est remboursée que lors de la liquidation de la Société.</w:t>
            </w:r>
            <w:r w:rsidR="009F2FE6" w:rsidRPr="007C33AE">
              <w:rPr>
                <w:rStyle w:val="Funotenzeichen"/>
                <w:szCs w:val="24"/>
                <w:lang w:val="fr-FR"/>
              </w:rPr>
              <w:footnoteReference w:id="12"/>
            </w:r>
          </w:p>
          <w:p w14:paraId="24A38E8A" w14:textId="77777777" w:rsidR="003566FC" w:rsidRPr="007C33AE" w:rsidRDefault="003566FC">
            <w:pPr>
              <w:pStyle w:val="Einzug1"/>
              <w:rPr>
                <w:rFonts w:cs="Times New Roman"/>
                <w:szCs w:val="24"/>
                <w:lang w:val="fr-FR"/>
              </w:rPr>
            </w:pPr>
          </w:p>
        </w:tc>
      </w:tr>
      <w:tr w:rsidR="003566FC" w:rsidRPr="006C3A4D" w14:paraId="5AD2B4FF" w14:textId="77777777" w:rsidTr="00C465E6">
        <w:tc>
          <w:tcPr>
            <w:tcW w:w="9826" w:type="dxa"/>
          </w:tcPr>
          <w:p w14:paraId="668B0C8D" w14:textId="77777777" w:rsidR="003566FC" w:rsidRPr="007C33AE" w:rsidRDefault="003566FC">
            <w:pPr>
              <w:pStyle w:val="Einzug1"/>
              <w:rPr>
                <w:rFonts w:cs="Times New Roman"/>
                <w:szCs w:val="24"/>
              </w:rPr>
            </w:pPr>
            <w:r>
              <w:t>9.</w:t>
            </w:r>
            <w:r>
              <w:tab/>
              <w:t xml:space="preserve">La SA indéfiniment responsable, les personnes à sa tête au sens de l’article 119, al. 3 OPCC et (pour autant qu’ils remplissent les conditions légales d’un investisseur qualifié) d’éventuels autres fondateurs sont habilités à souscrire, directement ou indirectement, jusqu’à </w:t>
            </w:r>
            <w:r>
              <w:rPr>
                <w:rStyle w:val="AuswahltextZchn"/>
              </w:rPr>
              <w:t>[</w:t>
            </w:r>
            <w:r>
              <w:rPr>
                <w:rStyle w:val="AuswahltextZchn"/>
                <w:highlight w:val="yellow"/>
              </w:rPr>
              <w:t>pourcentage</w:t>
            </w:r>
            <w:r>
              <w:rPr>
                <w:rStyle w:val="AuswahltextZchn"/>
              </w:rPr>
              <w:t>]</w:t>
            </w:r>
            <w:r>
              <w:t>% du montant total de la commandite (ci-après</w:t>
            </w:r>
            <w:proofErr w:type="gramStart"/>
            <w:r>
              <w:t xml:space="preserve"> </w:t>
            </w:r>
            <w:r>
              <w:rPr>
                <w:sz w:val="24"/>
              </w:rPr>
              <w:t>«</w:t>
            </w:r>
            <w:r>
              <w:rPr>
                <w:b/>
              </w:rPr>
              <w:t>Commanditaires</w:t>
            </w:r>
            <w:proofErr w:type="gramEnd"/>
            <w:r>
              <w:rPr>
                <w:b/>
              </w:rPr>
              <w:t xml:space="preserve"> Promoteurs</w:t>
            </w:r>
            <w:r>
              <w:t xml:space="preserve">» ou </w:t>
            </w:r>
            <w:r>
              <w:rPr>
                <w:sz w:val="24"/>
              </w:rPr>
              <w:t>«</w:t>
            </w:r>
            <w:r>
              <w:rPr>
                <w:b/>
              </w:rPr>
              <w:t>Commandites de Promoteur</w:t>
            </w:r>
            <w:r>
              <w:t>»). Les prescriptions ci-après concernant les fonds propres supplémentaires et la souscription minimale ne s’appliquent pas aux Commanditaires Promoteurs.</w:t>
            </w:r>
          </w:p>
          <w:p w14:paraId="7F6D5D94" w14:textId="77777777" w:rsidR="006F3FCC" w:rsidRPr="007C33AE" w:rsidRDefault="006F3FCC" w:rsidP="006F3FCC">
            <w:pPr>
              <w:rPr>
                <w:lang w:val="fr-FR"/>
              </w:rPr>
            </w:pPr>
          </w:p>
          <w:p w14:paraId="21ABE73C" w14:textId="77777777" w:rsidR="003566FC" w:rsidRPr="007C33AE" w:rsidRDefault="003566FC">
            <w:pPr>
              <w:pStyle w:val="Einzug1"/>
              <w:rPr>
                <w:rFonts w:cs="Times New Roman"/>
                <w:szCs w:val="24"/>
                <w:lang w:val="fr-FR"/>
              </w:rPr>
            </w:pPr>
          </w:p>
        </w:tc>
      </w:tr>
      <w:tr w:rsidR="003566FC" w:rsidRPr="003A5A1F" w14:paraId="7C725BE0" w14:textId="77777777" w:rsidTr="00C465E6">
        <w:tc>
          <w:tcPr>
            <w:tcW w:w="9826" w:type="dxa"/>
          </w:tcPr>
          <w:p w14:paraId="6076906C" w14:textId="6F324F53" w:rsidR="003566FC" w:rsidRPr="007C33AE" w:rsidRDefault="00D975B0" w:rsidP="00D975B0">
            <w:pPr>
              <w:pStyle w:val="berschrift3"/>
            </w:pPr>
            <w:bookmarkStart w:id="8" w:name="_Toc94114392"/>
            <w:r>
              <w:t>B</w:t>
            </w:r>
            <w:r>
              <w:tab/>
              <w:t>Fonds Propres Supplémentaires</w:t>
            </w:r>
            <w:bookmarkEnd w:id="8"/>
          </w:p>
          <w:p w14:paraId="3F8F6DC1" w14:textId="77777777" w:rsidR="003566FC" w:rsidRPr="007C33AE" w:rsidRDefault="003566FC" w:rsidP="00D975B0">
            <w:pPr>
              <w:rPr>
                <w:rStyle w:val="Seitenzahl"/>
                <w:lang w:val="fr-FR"/>
              </w:rPr>
            </w:pPr>
          </w:p>
        </w:tc>
      </w:tr>
      <w:tr w:rsidR="003566FC" w:rsidRPr="006C3A4D" w14:paraId="4A7DBDEC" w14:textId="77777777" w:rsidTr="00C465E6">
        <w:tc>
          <w:tcPr>
            <w:tcW w:w="9826" w:type="dxa"/>
          </w:tcPr>
          <w:p w14:paraId="4A3BAD9D" w14:textId="77777777" w:rsidR="003566FC" w:rsidRPr="007C33AE" w:rsidRDefault="003566FC">
            <w:pPr>
              <w:pStyle w:val="Einzug1"/>
              <w:rPr>
                <w:rFonts w:cs="Times New Roman"/>
                <w:szCs w:val="24"/>
              </w:rPr>
            </w:pPr>
            <w:r>
              <w:t>10.</w:t>
            </w:r>
            <w:r>
              <w:tab/>
              <w:t>A l’exception des Commanditaires Promoteurs</w:t>
            </w:r>
            <w:r w:rsidR="009F2FE6" w:rsidRPr="007C33AE">
              <w:rPr>
                <w:rStyle w:val="Funotenzeichen"/>
                <w:szCs w:val="24"/>
                <w:lang w:val="fr-FR"/>
              </w:rPr>
              <w:footnoteReference w:id="13"/>
            </w:r>
            <w:r>
              <w:t xml:space="preserve">, les Commanditaires s’engagent lors de la souscription des Commandites à mettre à disposition de la Société une contribution financière supplémentaire d’un montant représentant </w:t>
            </w:r>
            <w:r>
              <w:rPr>
                <w:rStyle w:val="AuswahltextZchn"/>
              </w:rPr>
              <w:t>[</w:t>
            </w:r>
            <w:r>
              <w:rPr>
                <w:rStyle w:val="AuswahltextZchn"/>
                <w:highlight w:val="yellow"/>
              </w:rPr>
              <w:t>chiffre</w:t>
            </w:r>
            <w:r>
              <w:rPr>
                <w:rStyle w:val="AuswahltextZchn"/>
              </w:rPr>
              <w:t>]</w:t>
            </w:r>
            <w:r>
              <w:t xml:space="preserve"> fois les Commandites </w:t>
            </w:r>
            <w:r>
              <w:lastRenderedPageBreak/>
              <w:t>souscrites (ci-après</w:t>
            </w:r>
            <w:proofErr w:type="gramStart"/>
            <w:r>
              <w:t xml:space="preserve"> </w:t>
            </w:r>
            <w:r>
              <w:rPr>
                <w:sz w:val="24"/>
              </w:rPr>
              <w:t>«</w:t>
            </w:r>
            <w:r>
              <w:rPr>
                <w:b/>
              </w:rPr>
              <w:t>Fonds</w:t>
            </w:r>
            <w:proofErr w:type="gramEnd"/>
            <w:r>
              <w:rPr>
                <w:b/>
              </w:rPr>
              <w:t xml:space="preserve"> Propres Supplémentaires</w:t>
            </w:r>
            <w:r>
              <w:t>»). Dans le cadre des relations internes, les Fonds Propres Supplémentaires représentent des fonds propres. Les Fonds Propres Supplémentaires ne sont toutefois pas inscrits au Registre du commerce et ne constituent pas un substrat de responsabilité dans le cadre des rapports externes. Les Fonds Propres Supplémentaires peuvent être remboursés en tout temps sur la base d’une décision de la SA indéfiniment responsable, prise en conformité avec les dispositions du présent contrat.</w:t>
            </w:r>
          </w:p>
          <w:p w14:paraId="6E804902" w14:textId="77777777" w:rsidR="003566FC" w:rsidRPr="007C33AE" w:rsidRDefault="003566FC">
            <w:pPr>
              <w:pStyle w:val="Einzug1"/>
              <w:rPr>
                <w:rFonts w:cs="Times New Roman"/>
                <w:szCs w:val="24"/>
                <w:lang w:val="fr-FR"/>
              </w:rPr>
            </w:pPr>
          </w:p>
        </w:tc>
      </w:tr>
      <w:tr w:rsidR="003566FC" w:rsidRPr="006C3A4D" w14:paraId="55369F1C" w14:textId="77777777" w:rsidTr="00C465E6">
        <w:tc>
          <w:tcPr>
            <w:tcW w:w="9826" w:type="dxa"/>
          </w:tcPr>
          <w:p w14:paraId="54EBEBA9" w14:textId="77777777" w:rsidR="003566FC" w:rsidRPr="007C33AE" w:rsidRDefault="003566FC">
            <w:pPr>
              <w:pStyle w:val="Einzug1"/>
              <w:rPr>
                <w:rFonts w:cs="Times New Roman"/>
                <w:szCs w:val="24"/>
              </w:rPr>
            </w:pPr>
            <w:r>
              <w:lastRenderedPageBreak/>
              <w:t>11.</w:t>
            </w:r>
            <w:r>
              <w:tab/>
              <w:t>Les Commandites et la quote-part des Fonds Propres Supplémentaires (ci-après</w:t>
            </w:r>
            <w:proofErr w:type="gramStart"/>
            <w:r>
              <w:t xml:space="preserve"> </w:t>
            </w:r>
            <w:r>
              <w:rPr>
                <w:sz w:val="24"/>
              </w:rPr>
              <w:t>«</w:t>
            </w:r>
            <w:r>
              <w:rPr>
                <w:b/>
              </w:rPr>
              <w:t>quote</w:t>
            </w:r>
            <w:proofErr w:type="gramEnd"/>
            <w:r>
              <w:rPr>
                <w:b/>
              </w:rPr>
              <w:t>-part</w:t>
            </w:r>
            <w:r>
              <w:t>») ne portent pas intérêts, sous réserve des règles sur la répartition des bénéfices (ci-après chiffres 73 et suivants).</w:t>
            </w:r>
          </w:p>
          <w:p w14:paraId="79BCA5EE" w14:textId="77777777" w:rsidR="003566FC" w:rsidRPr="007C33AE" w:rsidRDefault="003566FC">
            <w:pPr>
              <w:pStyle w:val="Einzug1"/>
              <w:rPr>
                <w:rFonts w:cs="Times New Roman"/>
                <w:szCs w:val="24"/>
                <w:lang w:val="fr-FR"/>
              </w:rPr>
            </w:pPr>
          </w:p>
        </w:tc>
      </w:tr>
      <w:tr w:rsidR="003566FC" w:rsidRPr="00E85EEB" w14:paraId="74F5E923" w14:textId="77777777" w:rsidTr="00C465E6">
        <w:tc>
          <w:tcPr>
            <w:tcW w:w="9826" w:type="dxa"/>
          </w:tcPr>
          <w:p w14:paraId="6BC76A00" w14:textId="3F101D2B" w:rsidR="00E85EEB" w:rsidRPr="0003737E" w:rsidRDefault="003566FC" w:rsidP="00E85EEB">
            <w:pPr>
              <w:pStyle w:val="Einzug1"/>
            </w:pPr>
            <w:bookmarkStart w:id="9" w:name="_Ref149394423"/>
            <w:r>
              <w:t>12.</w:t>
            </w:r>
            <w:r>
              <w:tab/>
              <w:t xml:space="preserve">Les Commanditaires versent les Fonds Propres Supplémentaires en une ou plusieurs fois dans un délai de </w:t>
            </w:r>
            <w:r>
              <w:rPr>
                <w:rStyle w:val="AuswahltextZchn"/>
              </w:rPr>
              <w:t>[</w:t>
            </w:r>
            <w:r>
              <w:rPr>
                <w:rStyle w:val="AuswahltextZchn"/>
                <w:highlight w:val="yellow"/>
              </w:rPr>
              <w:t>nombre de jours (p. ex. dix)</w:t>
            </w:r>
            <w:r>
              <w:rPr>
                <w:rStyle w:val="AuswahltextZchn"/>
              </w:rPr>
              <w:t>]</w:t>
            </w:r>
            <w:r>
              <w:t xml:space="preserve"> jours ouvrables à compter de la réception de la requête y afférente et émanant de la SA indéfiniment responsable. A l’issue de la Phase d’Investissement définie au chiffre 6, la SA indéfiniment responsable ne peut exiger le versement des Fonds Propres Supplémentaires non sollicités jusque-là, sous réserve d’une décision de l’Assemblée des associés </w:t>
            </w:r>
            <w:r>
              <w:rPr>
                <w:rStyle w:val="AuswahltextZchn"/>
              </w:rPr>
              <w:t>[</w:t>
            </w:r>
            <w:r>
              <w:rPr>
                <w:rStyle w:val="AuswahltextZchn"/>
                <w:highlight w:val="yellow"/>
              </w:rPr>
              <w:t>le cas échéant du Comité Consultatif</w:t>
            </w:r>
            <w:r>
              <w:rPr>
                <w:rStyle w:val="AuswahltextZchn"/>
              </w:rPr>
              <w:t>]</w:t>
            </w:r>
            <w:r>
              <w:t xml:space="preserve"> (cf. chiffre 39, let. </w:t>
            </w:r>
            <w:proofErr w:type="gramStart"/>
            <w:r>
              <w:t>a</w:t>
            </w:r>
            <w:proofErr w:type="gramEnd"/>
            <w:r>
              <w:t xml:space="preserve">). </w:t>
            </w:r>
            <w:bookmarkEnd w:id="9"/>
            <w:r>
              <w:t xml:space="preserve">Demeure réservé l’appel aux Fonds Propres Supplémentaires pour le règlement des coûts (y compris l’indemnisation de la SA indéfiniment responsable) </w:t>
            </w:r>
            <w:r>
              <w:rPr>
                <w:rStyle w:val="AuswahltextZchn"/>
                <w:highlight w:val="yellow"/>
              </w:rPr>
              <w:t>[et pour effectuer des placements qui sont admis après l’expiration de la Phase d’Investissement en vertu de ce contrat ou d’une décision de l’Assemblée des associés (chiffre 39, let. </w:t>
            </w:r>
            <w:proofErr w:type="gramStart"/>
            <w:r>
              <w:rPr>
                <w:rStyle w:val="AuswahltextZchn"/>
                <w:highlight w:val="yellow"/>
              </w:rPr>
              <w:t>a</w:t>
            </w:r>
            <w:proofErr w:type="gramEnd"/>
            <w:r>
              <w:rPr>
                <w:rStyle w:val="AuswahltextZchn"/>
                <w:highlight w:val="yellow"/>
              </w:rPr>
              <w:t>)]</w:t>
            </w:r>
            <w:r>
              <w:t>.</w:t>
            </w:r>
            <w:r>
              <w:rPr>
                <w:rFonts w:ascii="Calibri" w:hAnsi="Calibri"/>
              </w:rPr>
              <w:t xml:space="preserve"> </w:t>
            </w:r>
            <w:r>
              <w:rPr>
                <w:rStyle w:val="AuswahltextZchn"/>
              </w:rPr>
              <w:t>[À la souscription, la SA indéfiniment responsable peut décharger les Commandites de l’obligation de fournir des Fonds Propres Supplémentaires (ci-après les</w:t>
            </w:r>
            <w:proofErr w:type="gramStart"/>
            <w:r>
              <w:rPr>
                <w:rStyle w:val="AuswahltextZchn"/>
              </w:rPr>
              <w:t xml:space="preserve"> «</w:t>
            </w:r>
            <w:r>
              <w:rPr>
                <w:rStyle w:val="AuswahltextZchn"/>
                <w:b/>
              </w:rPr>
              <w:t>Commandites</w:t>
            </w:r>
            <w:proofErr w:type="gramEnd"/>
            <w:r>
              <w:rPr>
                <w:rStyle w:val="AuswahltextZchn"/>
                <w:b/>
              </w:rPr>
              <w:t xml:space="preserve"> Nominales</w:t>
            </w:r>
            <w:r>
              <w:rPr>
                <w:rStyle w:val="AuswahltextZchn"/>
              </w:rPr>
              <w:t>»). À l’exception du remboursement lors de la liquidation, ces Commandites n’accordent aucun droit, notamment de vote et de participation aux bénéfices. En cas de transfert à un investisseur tiers dans le délai de souscription, et sous réserve de la qualification de ce dernier en investisseur qualifié, les Commandites Nominales deviendront automatiquement et immédiatement Commandites détentrices de tous les droits et obligations en vertu du présent Contrat (en particulier l’engagement de fournir des Fonds Propres Supplémentaires conformément au chiffre 10). Un transfert après l’expiration de la période de souscription n’est plus possible.</w:t>
            </w:r>
            <w:r w:rsidR="00E85EEB" w:rsidRPr="005B5168">
              <w:rPr>
                <w:rStyle w:val="AuswahltextZchn"/>
                <w:vertAlign w:val="superscript"/>
              </w:rPr>
              <w:footnoteReference w:id="14"/>
            </w:r>
            <w:r>
              <w:rPr>
                <w:rStyle w:val="AuswahltextZchn"/>
              </w:rPr>
              <w:t>]</w:t>
            </w:r>
          </w:p>
          <w:p w14:paraId="55212E31" w14:textId="5C3A7E88" w:rsidR="00E703EC" w:rsidRPr="00E85EEB" w:rsidRDefault="00E703EC" w:rsidP="00E703EC"/>
        </w:tc>
      </w:tr>
      <w:tr w:rsidR="003566FC" w:rsidRPr="006C3A4D" w14:paraId="1A1AE59A" w14:textId="77777777" w:rsidTr="00C465E6">
        <w:tc>
          <w:tcPr>
            <w:tcW w:w="9826" w:type="dxa"/>
          </w:tcPr>
          <w:p w14:paraId="18FDCDAB" w14:textId="42AC314B" w:rsidR="003566FC" w:rsidRPr="007C33AE" w:rsidRDefault="003566FC">
            <w:pPr>
              <w:pStyle w:val="Einzug1"/>
              <w:rPr>
                <w:rFonts w:cs="Times New Roman"/>
                <w:szCs w:val="24"/>
              </w:rPr>
            </w:pPr>
            <w:bookmarkStart w:id="10" w:name="_Ref149047076"/>
            <w:r>
              <w:t>13.</w:t>
            </w:r>
            <w:r>
              <w:tab/>
              <w:t xml:space="preserve">Si un Commanditaire omet de verser les Fonds Propres Supplémentaires dans </w:t>
            </w:r>
            <w:r w:rsidRPr="00B52BA6">
              <w:t xml:space="preserve">les </w:t>
            </w:r>
            <w:r w:rsidRPr="00B52BA6">
              <w:rPr>
                <w:color w:val="FF0000"/>
              </w:rPr>
              <w:t>[</w:t>
            </w:r>
            <w:r w:rsidRPr="00B52BA6">
              <w:rPr>
                <w:color w:val="FF0000"/>
                <w:highlight w:val="yellow"/>
              </w:rPr>
              <w:t>nombre de jours (p. ex. dix)</w:t>
            </w:r>
            <w:r w:rsidRPr="00B52BA6">
              <w:rPr>
                <w:color w:val="FF0000"/>
              </w:rPr>
              <w:t>]</w:t>
            </w:r>
            <w:r>
              <w:t xml:space="preserve"> jours civils suivant la réception d’un rappel, ses parts peuvent être transférées au Commanditaire le plus offrant, conformément aux règles régissant le transfert de parts (chiffres 33 et suivants). La SA indéfiniment responsable est responsable de l’exécution. Si aucun Commanditaire ne souhaite reprendre lesdites parts (et l’engagement de verser des Fonds Propres Supplémentaires qui y est rattaché), la SA indéfiniment responsable peut, selon sa libre appréciation, proposer ces parts à un tiers.</w:t>
            </w:r>
          </w:p>
          <w:bookmarkEnd w:id="10"/>
          <w:p w14:paraId="5BC7C69A" w14:textId="77777777" w:rsidR="003566FC" w:rsidRPr="007C33AE" w:rsidRDefault="003566FC">
            <w:pPr>
              <w:pStyle w:val="Einzug1"/>
              <w:rPr>
                <w:rFonts w:cs="Times New Roman"/>
                <w:szCs w:val="24"/>
                <w:lang w:val="fr-FR"/>
              </w:rPr>
            </w:pPr>
          </w:p>
        </w:tc>
      </w:tr>
      <w:tr w:rsidR="003566FC" w:rsidRPr="003A5A1F" w14:paraId="589DD235" w14:textId="77777777" w:rsidTr="00C465E6">
        <w:tc>
          <w:tcPr>
            <w:tcW w:w="9826" w:type="dxa"/>
          </w:tcPr>
          <w:p w14:paraId="14E70EC1" w14:textId="62EBE5F5" w:rsidR="003566FC" w:rsidRPr="007C33AE" w:rsidRDefault="003566FC">
            <w:pPr>
              <w:pStyle w:val="Einzug1"/>
              <w:rPr>
                <w:rFonts w:cs="Times New Roman"/>
                <w:szCs w:val="24"/>
              </w:rPr>
            </w:pPr>
            <w:r>
              <w:t>14.</w:t>
            </w:r>
            <w:r>
              <w:tab/>
              <w:t xml:space="preserve">L'aliénation de parts n’est admissible que pour autant que l’acquéreur s’engage simultanément à procéder au versement des Fonds Propres Supplémentaires afférents aux parts transférées. Le retard dans le versement de Fonds Propres Supplémentaires donne lieu au versement d’un intérêt de </w:t>
            </w:r>
            <w:r>
              <w:rPr>
                <w:rStyle w:val="AuswahltextZchn"/>
              </w:rPr>
              <w:t>[</w:t>
            </w:r>
            <w:r>
              <w:rPr>
                <w:rStyle w:val="AuswahltextZchn"/>
                <w:highlight w:val="yellow"/>
              </w:rPr>
              <w:t>pourcentage, p. ex. 1</w:t>
            </w:r>
            <w:r>
              <w:rPr>
                <w:rStyle w:val="AuswahltextZchn"/>
              </w:rPr>
              <w:t>]</w:t>
            </w:r>
            <w:r w:rsidR="00B52BA6">
              <w:rPr>
                <w:rStyle w:val="AuswahltextZchn"/>
              </w:rPr>
              <w:t xml:space="preserve"> </w:t>
            </w:r>
            <w:r>
              <w:t>% par mois à la Société. Toute prétention additionnelle en réparation du dommage demeure réservée.</w:t>
            </w:r>
          </w:p>
          <w:p w14:paraId="17209917" w14:textId="77777777" w:rsidR="003566FC" w:rsidRPr="007C33AE" w:rsidRDefault="003566FC">
            <w:pPr>
              <w:rPr>
                <w:rFonts w:cs="Times New Roman"/>
                <w:szCs w:val="24"/>
                <w:lang w:val="fr-FR"/>
              </w:rPr>
            </w:pPr>
          </w:p>
        </w:tc>
      </w:tr>
      <w:tr w:rsidR="003566FC" w:rsidRPr="003A5A1F" w14:paraId="49C90906" w14:textId="77777777" w:rsidTr="00C465E6">
        <w:tc>
          <w:tcPr>
            <w:tcW w:w="9826" w:type="dxa"/>
          </w:tcPr>
          <w:p w14:paraId="399626B4" w14:textId="640DDC5E" w:rsidR="003566FC" w:rsidRPr="007C33AE" w:rsidRDefault="00E3640F" w:rsidP="00272362">
            <w:pPr>
              <w:pStyle w:val="berschrift3"/>
              <w:pageBreakBefore/>
            </w:pPr>
            <w:bookmarkStart w:id="11" w:name="_Toc94114393"/>
            <w:r>
              <w:lastRenderedPageBreak/>
              <w:t>C</w:t>
            </w:r>
            <w:r>
              <w:tab/>
              <w:t>Souscription</w:t>
            </w:r>
            <w:bookmarkEnd w:id="11"/>
          </w:p>
          <w:p w14:paraId="50578D00" w14:textId="77777777" w:rsidR="003566FC" w:rsidRPr="007C33AE" w:rsidRDefault="003566FC" w:rsidP="00E3640F">
            <w:pPr>
              <w:rPr>
                <w:lang w:val="fr-FR"/>
              </w:rPr>
            </w:pPr>
          </w:p>
        </w:tc>
      </w:tr>
      <w:tr w:rsidR="003566FC" w:rsidRPr="006C3A4D" w14:paraId="48FA873D" w14:textId="77777777" w:rsidTr="00C465E6">
        <w:tc>
          <w:tcPr>
            <w:tcW w:w="9826" w:type="dxa"/>
          </w:tcPr>
          <w:p w14:paraId="406C04B8" w14:textId="77777777" w:rsidR="003566FC" w:rsidRPr="007C33AE" w:rsidRDefault="003566FC">
            <w:pPr>
              <w:pStyle w:val="Einzug1"/>
              <w:rPr>
                <w:rFonts w:cs="Times New Roman"/>
                <w:szCs w:val="24"/>
              </w:rPr>
            </w:pPr>
            <w:r>
              <w:t>15.</w:t>
            </w:r>
            <w:r>
              <w:tab/>
              <w:t xml:space="preserve">La période de souscription s’étend jusqu’au </w:t>
            </w:r>
            <w:r>
              <w:rPr>
                <w:rStyle w:val="AuswahltextZchn"/>
              </w:rPr>
              <w:t>[</w:t>
            </w:r>
            <w:r>
              <w:rPr>
                <w:rStyle w:val="AuswahltextZchn"/>
                <w:highlight w:val="yellow"/>
              </w:rPr>
              <w:t>date</w:t>
            </w:r>
            <w:r>
              <w:rPr>
                <w:rStyle w:val="AuswahltextZchn"/>
              </w:rPr>
              <w:t>]</w:t>
            </w:r>
            <w:r w:rsidR="004602ED" w:rsidRPr="00970D04">
              <w:rPr>
                <w:rStyle w:val="Funotenzeichen"/>
                <w:szCs w:val="24"/>
                <w:lang w:val="fr-FR"/>
              </w:rPr>
              <w:footnoteReference w:id="15"/>
            </w:r>
            <w:r>
              <w:t>. Durant ce délai, la SA indéfiniment responsable peut procéder à la fondation de la Société, ainsi qu’à une ou plusieurs augmentations de capital.</w:t>
            </w:r>
            <w:r w:rsidR="004602ED" w:rsidRPr="007C33AE">
              <w:rPr>
                <w:rStyle w:val="Funotenzeichen"/>
                <w:szCs w:val="24"/>
                <w:lang w:val="fr-FR"/>
              </w:rPr>
              <w:footnoteReference w:id="16"/>
            </w:r>
          </w:p>
          <w:p w14:paraId="0AFDE302" w14:textId="77777777" w:rsidR="003566FC" w:rsidRPr="007C33AE" w:rsidRDefault="003566FC">
            <w:pPr>
              <w:pStyle w:val="Einzug1"/>
              <w:rPr>
                <w:rFonts w:cs="Times New Roman"/>
                <w:szCs w:val="24"/>
                <w:lang w:val="fr-FR"/>
              </w:rPr>
            </w:pPr>
          </w:p>
        </w:tc>
      </w:tr>
      <w:tr w:rsidR="003566FC" w:rsidRPr="006C3A4D" w14:paraId="61D93B02" w14:textId="77777777" w:rsidTr="00C465E6">
        <w:tc>
          <w:tcPr>
            <w:tcW w:w="9826" w:type="dxa"/>
          </w:tcPr>
          <w:p w14:paraId="4E22FBE3" w14:textId="77777777" w:rsidR="003566FC" w:rsidRPr="007C33AE" w:rsidRDefault="003566FC">
            <w:pPr>
              <w:pStyle w:val="Einzug1"/>
              <w:rPr>
                <w:rFonts w:cs="Times New Roman"/>
                <w:szCs w:val="24"/>
              </w:rPr>
            </w:pPr>
            <w:r>
              <w:t>16.</w:t>
            </w:r>
            <w:r>
              <w:tab/>
              <w:t>En signant le bulletin de souscription établi selon le modèle figurant en annexe (ci-après le</w:t>
            </w:r>
            <w:proofErr w:type="gramStart"/>
            <w:r>
              <w:t xml:space="preserve"> </w:t>
            </w:r>
            <w:r>
              <w:rPr>
                <w:sz w:val="24"/>
              </w:rPr>
              <w:t>«</w:t>
            </w:r>
            <w:r>
              <w:rPr>
                <w:b/>
              </w:rPr>
              <w:t>Bulletin</w:t>
            </w:r>
            <w:proofErr w:type="gramEnd"/>
            <w:r>
              <w:rPr>
                <w:b/>
              </w:rPr>
              <w:t xml:space="preserve"> de Souscription</w:t>
            </w:r>
            <w:r>
              <w:t>»), le souscripteur s’engage irrévocablement au versement immédiat de la Commandite et, sur requête de la SA indéfiniment responsable, à verser la quote-part des Fonds Propres Supplémentaires afférente à ses parts. Tous ces versements doivent intervenir dans le délai fixé au chiffre 12.</w:t>
            </w:r>
          </w:p>
          <w:p w14:paraId="2F260D4E" w14:textId="77777777" w:rsidR="003566FC" w:rsidRPr="007C33AE" w:rsidRDefault="003566FC">
            <w:pPr>
              <w:pStyle w:val="Einzug1"/>
              <w:rPr>
                <w:rFonts w:cs="Times New Roman"/>
                <w:szCs w:val="24"/>
                <w:lang w:val="fr-FR"/>
              </w:rPr>
            </w:pPr>
          </w:p>
        </w:tc>
      </w:tr>
      <w:tr w:rsidR="003566FC" w:rsidRPr="00A93B5B" w14:paraId="0E7F8D61" w14:textId="77777777" w:rsidTr="00C465E6">
        <w:tc>
          <w:tcPr>
            <w:tcW w:w="9826" w:type="dxa"/>
          </w:tcPr>
          <w:p w14:paraId="65B9951D" w14:textId="678FB519" w:rsidR="003566FC" w:rsidRPr="007C33AE" w:rsidRDefault="003566FC">
            <w:pPr>
              <w:pStyle w:val="Einzug1"/>
              <w:rPr>
                <w:rFonts w:cs="Times New Roman"/>
                <w:szCs w:val="24"/>
              </w:rPr>
            </w:pPr>
            <w:r>
              <w:t>17.</w:t>
            </w:r>
            <w:r>
              <w:tab/>
              <w:t xml:space="preserve">Le montant minimal de souscription par souscripteur ou Commanditaire est de CHF </w:t>
            </w:r>
            <w:r>
              <w:rPr>
                <w:color w:val="FF0000"/>
                <w:highlight w:val="yellow"/>
              </w:rPr>
              <w:t>[montant en CHF]</w:t>
            </w:r>
            <w:r>
              <w:t xml:space="preserve"> (Commandite et Fonds Propres Supplémentaires).</w:t>
            </w:r>
            <w:r>
              <w:rPr>
                <w:rFonts w:ascii="Calibri" w:hAnsi="Calibri"/>
              </w:rPr>
              <w:t xml:space="preserve"> </w:t>
            </w:r>
            <w:r>
              <w:rPr>
                <w:color w:val="FF0000"/>
              </w:rPr>
              <w:t>[Le montant de souscription pour les clôtures de périodes de souscription après la fondation augmente à hauteur d’une indemnité compensatoire pour le capital souscrit et versé préalablement (ci-après l</w:t>
            </w:r>
            <w:proofErr w:type="gramStart"/>
            <w:r>
              <w:rPr>
                <w:color w:val="FF0000"/>
              </w:rPr>
              <w:t>’«Indemnité</w:t>
            </w:r>
            <w:proofErr w:type="gramEnd"/>
            <w:r>
              <w:rPr>
                <w:color w:val="FF0000"/>
              </w:rPr>
              <w:t xml:space="preserve"> Compensatoire»). L’Indemnité Compensatoire a pour but de dédommager les souscripteurs précédents (fondateurs compris) pour la mise à disposition du capital ainsi que pour toutes les dépréciations intervenues depuis lors.</w:t>
            </w:r>
            <w:r>
              <w:t xml:space="preserve"> </w:t>
            </w:r>
            <w:r w:rsidR="00291588">
              <w:rPr>
                <w:color w:val="FF0000"/>
              </w:rPr>
              <w:t>Elle s’élève à [</w:t>
            </w:r>
            <w:r w:rsidR="00291588">
              <w:rPr>
                <w:color w:val="FF0000"/>
                <w:highlight w:val="yellow"/>
              </w:rPr>
              <w:t xml:space="preserve">p. ex. </w:t>
            </w:r>
            <w:proofErr w:type="gramStart"/>
            <w:r w:rsidR="00291588">
              <w:rPr>
                <w:color w:val="FF0000"/>
                <w:highlight w:val="yellow"/>
              </w:rPr>
              <w:t>4</w:t>
            </w:r>
            <w:r w:rsidR="00291588">
              <w:rPr>
                <w:color w:val="FF0000"/>
              </w:rPr>
              <w:t>]%</w:t>
            </w:r>
            <w:proofErr w:type="gramEnd"/>
            <w:r w:rsidR="00291588">
              <w:rPr>
                <w:color w:val="FF0000"/>
              </w:rPr>
              <w:t xml:space="preserve"> p.a. de la partie sollicitée des nouvelles souscriptions, calculée à partir du versement des souscripteurs précédents (fondateurs compris) jusqu’à la clôture de la période de souscription.</w:t>
            </w:r>
            <w:r w:rsidR="00291588">
              <w:t xml:space="preserve"> </w:t>
            </w:r>
            <w:r>
              <w:rPr>
                <w:color w:val="FF0000"/>
              </w:rPr>
              <w:t>À cela s’ajoute le montant nécessaire à la compensation de toutes les dépréciations des parts de commandite souscrites précédemment. L’Indemnité Compensatoire est réclamée au premier appel de capitaux.</w:t>
            </w:r>
            <w:r w:rsidR="00E85EEB" w:rsidRPr="00E85EEB">
              <w:rPr>
                <w:color w:val="FF0000"/>
                <w:vertAlign w:val="superscript"/>
              </w:rPr>
              <w:footnoteReference w:id="17"/>
            </w:r>
            <w:r>
              <w:rPr>
                <w:color w:val="FF0000"/>
              </w:rPr>
              <w:t>]</w:t>
            </w:r>
          </w:p>
          <w:p w14:paraId="1B9A6E20" w14:textId="77777777" w:rsidR="003566FC" w:rsidRPr="007C33AE" w:rsidRDefault="003566FC">
            <w:pPr>
              <w:pStyle w:val="Einzug1"/>
              <w:rPr>
                <w:rFonts w:cs="Times New Roman"/>
                <w:szCs w:val="24"/>
                <w:lang w:val="fr-FR"/>
              </w:rPr>
            </w:pPr>
          </w:p>
        </w:tc>
      </w:tr>
      <w:tr w:rsidR="003566FC" w:rsidRPr="006C3A4D" w14:paraId="1B2A56CF" w14:textId="77777777" w:rsidTr="00C465E6">
        <w:tc>
          <w:tcPr>
            <w:tcW w:w="9826" w:type="dxa"/>
          </w:tcPr>
          <w:p w14:paraId="4E5F8E37" w14:textId="0EEA3F56" w:rsidR="003566FC" w:rsidRPr="007C33AE" w:rsidRDefault="003566FC" w:rsidP="00DC540B">
            <w:pPr>
              <w:pStyle w:val="Einzug1"/>
              <w:rPr>
                <w:rFonts w:cs="Times New Roman"/>
                <w:szCs w:val="24"/>
              </w:rPr>
            </w:pPr>
            <w:r>
              <w:t>18.</w:t>
            </w:r>
            <w:r>
              <w:tab/>
              <w:t>Au moment de la souscription, les souscripteurs doivent remplir les conditions d’un investisseur qualifié au sens de l’article 10, al. 3 et al. 3</w:t>
            </w:r>
            <w:r>
              <w:rPr>
                <w:vertAlign w:val="superscript"/>
              </w:rPr>
              <w:t>ter</w:t>
            </w:r>
            <w:r>
              <w:t xml:space="preserve"> LPCC ou celles d’un Commanditaire Promoteur. De plus, les souscripteurs doivent satisfaire aux autres conditions et charges mentionnées dans le Bulletin de Souscription. Les souscripteurs fournissent à la SA indéfiniment responsable les renseignements et la documentation dont celle-ci a besoin pour accomplir ses tâches. La Société a le pouvoir de contraindre un souscripteur à lui vendre ses parts, pour autant qu’elle dispose de moyens financiers suffisants et qu’elle constate que le souscripteur ne remplit pas les conditions applicables.</w:t>
            </w:r>
          </w:p>
          <w:p w14:paraId="42DFB4DD" w14:textId="77777777" w:rsidR="007C033D" w:rsidRPr="007C33AE" w:rsidRDefault="007C033D" w:rsidP="007C033D">
            <w:pPr>
              <w:rPr>
                <w:lang w:val="fr-FR"/>
              </w:rPr>
            </w:pPr>
          </w:p>
        </w:tc>
      </w:tr>
      <w:tr w:rsidR="003566FC" w:rsidRPr="006C3A4D" w14:paraId="7A2FC9D3" w14:textId="77777777" w:rsidTr="00C465E6">
        <w:tc>
          <w:tcPr>
            <w:tcW w:w="9826" w:type="dxa"/>
          </w:tcPr>
          <w:p w14:paraId="4250F27B" w14:textId="77777777" w:rsidR="003566FC" w:rsidRPr="007C33AE" w:rsidRDefault="003566FC" w:rsidP="007C033D">
            <w:pPr>
              <w:pStyle w:val="Einzug1"/>
              <w:rPr>
                <w:rFonts w:cs="Times New Roman"/>
                <w:szCs w:val="24"/>
              </w:rPr>
            </w:pPr>
            <w:r>
              <w:t>19.</w:t>
            </w:r>
            <w:r>
              <w:tab/>
              <w:t xml:space="preserve">S’il s’avère qu’une confirmation fournie dans un Bulletin de Souscription est incorrecte et que de ce fait les conditions mentionnées ci-dessus ne sont donc plus remplies, les parts correspondantes doivent être aliénées conformément au chiffre 13. Pour le surplus, le souscripteur répond de tout dommage ainsi </w:t>
            </w:r>
            <w:proofErr w:type="gramStart"/>
            <w:r>
              <w:t>occasionné</w:t>
            </w:r>
            <w:proofErr w:type="gramEnd"/>
            <w:r>
              <w:t>.</w:t>
            </w:r>
          </w:p>
          <w:p w14:paraId="367323C3" w14:textId="77777777" w:rsidR="003566FC" w:rsidRPr="007C33AE" w:rsidRDefault="003566FC">
            <w:pPr>
              <w:rPr>
                <w:rFonts w:cs="Times New Roman"/>
                <w:szCs w:val="24"/>
                <w:lang w:val="fr-FR"/>
              </w:rPr>
            </w:pPr>
          </w:p>
        </w:tc>
      </w:tr>
      <w:tr w:rsidR="003566FC" w:rsidRPr="006C3A4D" w14:paraId="66C5F8FA" w14:textId="77777777" w:rsidTr="00C465E6">
        <w:tc>
          <w:tcPr>
            <w:tcW w:w="9826" w:type="dxa"/>
          </w:tcPr>
          <w:p w14:paraId="165EA9A1" w14:textId="77777777" w:rsidR="003566FC" w:rsidRPr="007C33AE" w:rsidRDefault="003566FC" w:rsidP="00B74558">
            <w:pPr>
              <w:pStyle w:val="Einzug1"/>
            </w:pPr>
            <w:r>
              <w:t>20.</w:t>
            </w:r>
            <w:r>
              <w:tab/>
              <w:t xml:space="preserve">Pour le surplus, la SA indéfiniment responsable décide librement de l’acceptation des souscriptions </w:t>
            </w:r>
            <w:proofErr w:type="gramStart"/>
            <w:r>
              <w:t>reçues;</w:t>
            </w:r>
            <w:proofErr w:type="gramEnd"/>
            <w:r>
              <w:t xml:space="preserve"> elle peut refuser des souscriptions sans indications de motifs.</w:t>
            </w:r>
          </w:p>
          <w:p w14:paraId="489E3046" w14:textId="77777777" w:rsidR="003566FC" w:rsidRPr="007C33AE" w:rsidRDefault="003566FC">
            <w:pPr>
              <w:rPr>
                <w:rFonts w:cs="Times New Roman"/>
                <w:szCs w:val="24"/>
                <w:lang w:val="fr-FR"/>
              </w:rPr>
            </w:pPr>
          </w:p>
          <w:p w14:paraId="057EA67F" w14:textId="77777777" w:rsidR="00252C08" w:rsidRPr="007C33AE" w:rsidRDefault="00252C08">
            <w:pPr>
              <w:rPr>
                <w:rFonts w:cs="Times New Roman"/>
                <w:szCs w:val="24"/>
                <w:lang w:val="fr-FR"/>
              </w:rPr>
            </w:pPr>
          </w:p>
        </w:tc>
      </w:tr>
      <w:tr w:rsidR="003566FC" w:rsidRPr="003A5A1F" w14:paraId="7BC786A6" w14:textId="77777777" w:rsidTr="00C465E6">
        <w:tc>
          <w:tcPr>
            <w:tcW w:w="9826" w:type="dxa"/>
          </w:tcPr>
          <w:p w14:paraId="53ED7A6B" w14:textId="61997E92" w:rsidR="003566FC" w:rsidRPr="007D7157" w:rsidRDefault="002C7848" w:rsidP="00272362">
            <w:pPr>
              <w:pStyle w:val="berschrift2"/>
              <w:pageBreakBefore/>
              <w:rPr>
                <w:rStyle w:val="StyleTitre2NonGrasCar"/>
                <w:b/>
                <w:bCs w:val="0"/>
                <w:iCs w:val="0"/>
                <w:szCs w:val="22"/>
              </w:rPr>
            </w:pPr>
            <w:bookmarkStart w:id="12" w:name="_Toc94114394"/>
            <w:r>
              <w:rPr>
                <w:rStyle w:val="StyleTitre2NonGrasCar"/>
                <w:b/>
              </w:rPr>
              <w:lastRenderedPageBreak/>
              <w:t>III</w:t>
            </w:r>
            <w:r>
              <w:rPr>
                <w:rStyle w:val="StyleTitre2NonGrasCar"/>
                <w:b/>
              </w:rPr>
              <w:tab/>
              <w:t>Placements</w:t>
            </w:r>
            <w:bookmarkEnd w:id="12"/>
          </w:p>
          <w:p w14:paraId="587E2E6A" w14:textId="77777777" w:rsidR="003566FC" w:rsidRPr="007C33AE" w:rsidRDefault="003566FC" w:rsidP="007D7157">
            <w:pPr>
              <w:rPr>
                <w:lang w:val="fr-FR"/>
              </w:rPr>
            </w:pPr>
          </w:p>
        </w:tc>
      </w:tr>
      <w:tr w:rsidR="008D641D" w:rsidRPr="006C3A4D" w14:paraId="7B8EC628" w14:textId="77777777" w:rsidTr="00C465E6">
        <w:tc>
          <w:tcPr>
            <w:tcW w:w="9826" w:type="dxa"/>
          </w:tcPr>
          <w:p w14:paraId="30858EF5" w14:textId="77777777" w:rsidR="008D641D" w:rsidRPr="007C33AE" w:rsidRDefault="008D641D" w:rsidP="0024791A">
            <w:pPr>
              <w:pStyle w:val="Einzug1"/>
            </w:pPr>
            <w:r>
              <w:t>21.</w:t>
            </w:r>
            <w:r>
              <w:tab/>
              <w:t xml:space="preserve">Les placements de la Société ont lieu en </w:t>
            </w:r>
            <w:r>
              <w:rPr>
                <w:rStyle w:val="AuswahltextZchn1"/>
              </w:rPr>
              <w:t>[</w:t>
            </w:r>
            <w:r>
              <w:rPr>
                <w:rStyle w:val="AuswahltextZchn1"/>
                <w:highlight w:val="yellow"/>
              </w:rPr>
              <w:t>objectifs de placement concrets, p. ex. investissements dans les entreprises de haute technologie en Europe, en stade</w:t>
            </w:r>
            <w:proofErr w:type="gramStart"/>
            <w:r>
              <w:rPr>
                <w:rStyle w:val="AuswahltextZchn1"/>
                <w:highlight w:val="yellow"/>
              </w:rPr>
              <w:t xml:space="preserve"> «Venture</w:t>
            </w:r>
            <w:proofErr w:type="gramEnd"/>
            <w:r>
              <w:rPr>
                <w:rStyle w:val="AuswahltextZchn1"/>
                <w:highlight w:val="yellow"/>
              </w:rPr>
              <w:t>»</w:t>
            </w:r>
            <w:r>
              <w:rPr>
                <w:rStyle w:val="AuswahltextZchn1"/>
              </w:rPr>
              <w:t>]</w:t>
            </w:r>
            <w:r>
              <w:t>.</w:t>
            </w:r>
            <w:r w:rsidR="000C1489" w:rsidRPr="007C33AE">
              <w:rPr>
                <w:rStyle w:val="Funotenzeichen"/>
                <w:lang w:val="fr-FR"/>
              </w:rPr>
              <w:footnoteReference w:id="18"/>
            </w:r>
          </w:p>
          <w:p w14:paraId="0ECA2233" w14:textId="77777777" w:rsidR="0024791A" w:rsidRPr="007C33AE" w:rsidRDefault="0024791A" w:rsidP="0024791A">
            <w:pPr>
              <w:rPr>
                <w:lang w:val="fr-FR"/>
              </w:rPr>
            </w:pPr>
          </w:p>
        </w:tc>
      </w:tr>
      <w:tr w:rsidR="003566FC" w:rsidRPr="006C3A4D" w14:paraId="7EB8176A" w14:textId="77777777" w:rsidTr="00C465E6">
        <w:tc>
          <w:tcPr>
            <w:tcW w:w="9826" w:type="dxa"/>
          </w:tcPr>
          <w:p w14:paraId="2F54DF3F" w14:textId="77777777" w:rsidR="003566FC" w:rsidRPr="007C33AE" w:rsidRDefault="003566FC">
            <w:pPr>
              <w:pStyle w:val="Einzug1"/>
              <w:rPr>
                <w:rStyle w:val="AuswahltextZchn"/>
                <w:rFonts w:cs="Times New Roman"/>
                <w:szCs w:val="24"/>
              </w:rPr>
            </w:pPr>
            <w:r>
              <w:t>22.</w:t>
            </w:r>
            <w:r>
              <w:tab/>
            </w:r>
            <w:r>
              <w:rPr>
                <w:rStyle w:val="AuswahltextZchn"/>
              </w:rPr>
              <w:t>[</w:t>
            </w:r>
            <w:r>
              <w:rPr>
                <w:rStyle w:val="AuswahltextZchn"/>
                <w:highlight w:val="yellow"/>
              </w:rPr>
              <w:t xml:space="preserve">Explications </w:t>
            </w:r>
            <w:proofErr w:type="gramStart"/>
            <w:r>
              <w:rPr>
                <w:rStyle w:val="AuswahltextZchn"/>
                <w:highlight w:val="yellow"/>
              </w:rPr>
              <w:t>sur:</w:t>
            </w:r>
            <w:proofErr w:type="gramEnd"/>
            <w:r>
              <w:rPr>
                <w:rStyle w:val="AuswahltextZchn"/>
                <w:highlight w:val="yellow"/>
              </w:rPr>
              <w:t xml:space="preserve"> la politique de placement, les restrictions de placement, la répartition des risques, les risques et techniques de placement:</w:t>
            </w:r>
            <w:r w:rsidR="000E12E5" w:rsidRPr="007D7157">
              <w:rPr>
                <w:rStyle w:val="Funotenzeichen"/>
                <w:szCs w:val="24"/>
                <w:lang w:val="fr-FR"/>
              </w:rPr>
              <w:footnoteReference w:id="19"/>
            </w:r>
          </w:p>
          <w:p w14:paraId="66055152" w14:textId="77777777"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Stade des investissements (Venture/Early Stage, Buyout, etc.)</w:t>
            </w:r>
          </w:p>
          <w:p w14:paraId="750DA408" w14:textId="77777777"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Implantation géographique</w:t>
            </w:r>
          </w:p>
          <w:p w14:paraId="275AC0AB" w14:textId="77777777"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Approche sectorielle (biotechnologie, etc.)</w:t>
            </w:r>
          </w:p>
          <w:p w14:paraId="5F9E1A0A" w14:textId="77777777"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 xml:space="preserve">Limites de </w:t>
            </w:r>
            <w:proofErr w:type="gramStart"/>
            <w:r>
              <w:rPr>
                <w:highlight w:val="yellow"/>
              </w:rPr>
              <w:t>placement:</w:t>
            </w:r>
            <w:proofErr w:type="gramEnd"/>
            <w:r>
              <w:rPr>
                <w:highlight w:val="yellow"/>
              </w:rPr>
              <w:t xml:space="preserve"> exclusion de ...</w:t>
            </w:r>
          </w:p>
          <w:p w14:paraId="4F59DB22" w14:textId="77777777"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 xml:space="preserve">Répartition des </w:t>
            </w:r>
            <w:proofErr w:type="gramStart"/>
            <w:r>
              <w:rPr>
                <w:highlight w:val="yellow"/>
              </w:rPr>
              <w:t>risques:</w:t>
            </w:r>
            <w:proofErr w:type="gramEnd"/>
            <w:r>
              <w:rPr>
                <w:highlight w:val="yellow"/>
              </w:rPr>
              <w:t xml:space="preserve"> pas plus de [pourcentage]% par investissement, diversification géographique, stades, etc.</w:t>
            </w:r>
          </w:p>
          <w:p w14:paraId="4538779A" w14:textId="4B8C834F"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Techniques de placement conformément à l’article 102, al. 1, let. </w:t>
            </w:r>
            <w:proofErr w:type="gramStart"/>
            <w:r>
              <w:rPr>
                <w:highlight w:val="yellow"/>
              </w:rPr>
              <w:t>h</w:t>
            </w:r>
            <w:proofErr w:type="gramEnd"/>
            <w:r>
              <w:rPr>
                <w:highlight w:val="yellow"/>
              </w:rPr>
              <w:t xml:space="preserve"> LPCC</w:t>
            </w:r>
          </w:p>
          <w:p w14:paraId="22511707" w14:textId="77777777" w:rsidR="003566FC" w:rsidRPr="00970D04" w:rsidRDefault="003566FC" w:rsidP="001802F1">
            <w:pPr>
              <w:pStyle w:val="Auswahltext"/>
              <w:tabs>
                <w:tab w:val="left" w:pos="709"/>
                <w:tab w:val="left" w:pos="924"/>
              </w:tabs>
              <w:ind w:left="924" w:hanging="215"/>
              <w:rPr>
                <w:rFonts w:cs="Times New Roman"/>
                <w:szCs w:val="24"/>
                <w:highlight w:val="yellow"/>
              </w:rPr>
            </w:pPr>
            <w:r>
              <w:rPr>
                <w:highlight w:val="yellow"/>
              </w:rPr>
              <w:sym w:font="Wingdings" w:char="F09F"/>
            </w:r>
            <w:r>
              <w:rPr>
                <w:highlight w:val="yellow"/>
              </w:rPr>
              <w:tab/>
              <w:t xml:space="preserve">Le cas échéant, renseignements </w:t>
            </w:r>
            <w:proofErr w:type="gramStart"/>
            <w:r>
              <w:rPr>
                <w:highlight w:val="yellow"/>
              </w:rPr>
              <w:t>sur:</w:t>
            </w:r>
            <w:proofErr w:type="gramEnd"/>
          </w:p>
          <w:p w14:paraId="1BED3758" w14:textId="77777777" w:rsidR="003566FC" w:rsidRPr="00970D04" w:rsidRDefault="003566FC" w:rsidP="001802F1">
            <w:pPr>
              <w:pStyle w:val="Auswahltext"/>
              <w:tabs>
                <w:tab w:val="left" w:pos="924"/>
                <w:tab w:val="left" w:pos="1066"/>
              </w:tabs>
              <w:ind w:left="1066" w:hanging="142"/>
              <w:rPr>
                <w:rFonts w:cs="Times New Roman"/>
                <w:szCs w:val="24"/>
                <w:highlight w:val="yellow"/>
              </w:rPr>
            </w:pPr>
            <w:r>
              <w:rPr>
                <w:highlight w:val="yellow"/>
              </w:rPr>
              <w:t>-</w:t>
            </w:r>
            <w:r>
              <w:rPr>
                <w:highlight w:val="yellow"/>
              </w:rPr>
              <w:tab/>
              <w:t>le processus de Due Diligence</w:t>
            </w:r>
          </w:p>
          <w:p w14:paraId="7670EF9A" w14:textId="77777777" w:rsidR="003566FC" w:rsidRPr="007C33AE" w:rsidRDefault="003566FC" w:rsidP="001802F1">
            <w:pPr>
              <w:pStyle w:val="Auswahltext"/>
              <w:tabs>
                <w:tab w:val="left" w:pos="924"/>
                <w:tab w:val="left" w:pos="1066"/>
              </w:tabs>
              <w:ind w:left="1066" w:hanging="142"/>
              <w:rPr>
                <w:rFonts w:cs="Times New Roman"/>
                <w:szCs w:val="24"/>
              </w:rPr>
            </w:pPr>
            <w:r>
              <w:rPr>
                <w:highlight w:val="yellow"/>
              </w:rPr>
              <w:t>-</w:t>
            </w:r>
            <w:r>
              <w:rPr>
                <w:highlight w:val="yellow"/>
              </w:rPr>
              <w:tab/>
              <w:t>les Mile Stones, le Monitoring</w:t>
            </w:r>
            <w:r>
              <w:t>]</w:t>
            </w:r>
          </w:p>
          <w:p w14:paraId="65A4CF78" w14:textId="77777777" w:rsidR="003566FC" w:rsidRPr="007C33AE" w:rsidRDefault="003566FC">
            <w:pPr>
              <w:rPr>
                <w:rFonts w:cs="Times New Roman"/>
                <w:szCs w:val="24"/>
                <w:lang w:val="fr-FR"/>
              </w:rPr>
            </w:pPr>
          </w:p>
        </w:tc>
      </w:tr>
      <w:tr w:rsidR="003566FC" w:rsidRPr="00036771" w14:paraId="4322975A" w14:textId="77777777" w:rsidTr="00C465E6">
        <w:tc>
          <w:tcPr>
            <w:tcW w:w="9826" w:type="dxa"/>
          </w:tcPr>
          <w:p w14:paraId="77674221" w14:textId="77777777" w:rsidR="003566FC" w:rsidRPr="007C33AE" w:rsidRDefault="003566FC">
            <w:pPr>
              <w:pStyle w:val="Einzug1"/>
              <w:rPr>
                <w:rFonts w:cs="Times New Roman"/>
                <w:szCs w:val="24"/>
              </w:rPr>
            </w:pPr>
            <w:bookmarkStart w:id="13" w:name="_Ref157428485"/>
            <w:r>
              <w:t>23.</w:t>
            </w:r>
            <w:r>
              <w:tab/>
            </w:r>
            <w:r>
              <w:rPr>
                <w:rStyle w:val="AuswahltextZchn"/>
              </w:rPr>
              <w:t>[</w:t>
            </w:r>
            <w:r>
              <w:rPr>
                <w:rStyle w:val="AuswahltextZchn"/>
                <w:highlight w:val="yellow"/>
              </w:rPr>
              <w:t>Dispositions concernant des placements autorisés exceptionnellement après l’expiration de la Phase d’Investissement</w:t>
            </w:r>
            <w:r>
              <w:rPr>
                <w:rStyle w:val="AuswahltextZchn"/>
              </w:rPr>
              <w:t>]</w:t>
            </w:r>
            <w:r>
              <w:t>.</w:t>
            </w:r>
          </w:p>
          <w:bookmarkEnd w:id="13"/>
          <w:p w14:paraId="4F60D94F" w14:textId="77777777" w:rsidR="003566FC" w:rsidRPr="007C33AE" w:rsidRDefault="003566FC">
            <w:pPr>
              <w:pStyle w:val="Einzug1"/>
              <w:rPr>
                <w:rFonts w:cs="Times New Roman"/>
                <w:szCs w:val="24"/>
                <w:lang w:val="fr-FR"/>
              </w:rPr>
            </w:pPr>
          </w:p>
          <w:p w14:paraId="68D475E4" w14:textId="689648F6" w:rsidR="00036771" w:rsidRDefault="00036771" w:rsidP="00036771">
            <w:pPr>
              <w:pStyle w:val="Einzug1"/>
            </w:pPr>
            <w:r>
              <w:t>23a.</w:t>
            </w:r>
            <w:r>
              <w:tab/>
              <w:t>Les caractéristiques inhérentes aux investissements en capital-risque rendent possible la perte totale de la valeur des parts. Les risques sont d’autant plus importants en cas d’absence de possibilités de désinvestissement des sociétés du portefeuille, d’insuccès commercial de celles-ci et d’évolutions défavorables des prix. Outre le risque de départ de personnes clés, il convient de tenir particulièrement compte des risques de crédit, de variation des taux d’intérêt et d’inflation, des risques commerciaux, réglementaires et technologiques ainsi que des risques spécifiques aux entreprises. Les placements en présence sont par ailleurs illiquides. Pendant toute la durée de la société, le Commanditaire n’est pas en droit de restituer ses parts ou de quitter la société.</w:t>
            </w:r>
            <w:r w:rsidRPr="007C31EE">
              <w:rPr>
                <w:rStyle w:val="Funotenzeichen"/>
              </w:rPr>
              <w:footnoteReference w:id="20"/>
            </w:r>
          </w:p>
          <w:p w14:paraId="517D8623" w14:textId="77777777" w:rsidR="00252C08" w:rsidRPr="00036771" w:rsidRDefault="00252C08" w:rsidP="00252C08"/>
          <w:p w14:paraId="578FCFC5" w14:textId="77777777" w:rsidR="00252C08" w:rsidRPr="009E45AE" w:rsidRDefault="00252C08" w:rsidP="00252C08"/>
        </w:tc>
      </w:tr>
      <w:tr w:rsidR="003566FC" w:rsidRPr="003A5A1F" w14:paraId="0DA00504" w14:textId="77777777" w:rsidTr="00C465E6">
        <w:tc>
          <w:tcPr>
            <w:tcW w:w="9826" w:type="dxa"/>
          </w:tcPr>
          <w:p w14:paraId="211528EB" w14:textId="351CA8BA" w:rsidR="003566FC" w:rsidRPr="007C33AE" w:rsidRDefault="002C7848" w:rsidP="00272362">
            <w:pPr>
              <w:pStyle w:val="berschrift2"/>
            </w:pPr>
            <w:bookmarkStart w:id="14" w:name="_Toc94114395"/>
            <w:r>
              <w:t>IV</w:t>
            </w:r>
            <w:r>
              <w:tab/>
              <w:t>Commanditaires</w:t>
            </w:r>
            <w:bookmarkEnd w:id="14"/>
          </w:p>
          <w:p w14:paraId="43CF9550" w14:textId="77777777" w:rsidR="003566FC" w:rsidRPr="007C33AE" w:rsidRDefault="003566FC">
            <w:pPr>
              <w:rPr>
                <w:rFonts w:cs="Times New Roman"/>
                <w:szCs w:val="24"/>
                <w:lang w:val="fr-FR"/>
              </w:rPr>
            </w:pPr>
          </w:p>
        </w:tc>
      </w:tr>
      <w:tr w:rsidR="003566FC" w:rsidRPr="003A5A1F" w14:paraId="7C895E98" w14:textId="77777777" w:rsidTr="00C465E6">
        <w:tc>
          <w:tcPr>
            <w:tcW w:w="9826" w:type="dxa"/>
          </w:tcPr>
          <w:p w14:paraId="4EED33F5" w14:textId="3A04A702" w:rsidR="003566FC" w:rsidRPr="007C33AE" w:rsidRDefault="007F47AB" w:rsidP="007F47AB">
            <w:pPr>
              <w:pStyle w:val="berschrift3"/>
            </w:pPr>
            <w:bookmarkStart w:id="15" w:name="_Toc94114396"/>
            <w:r>
              <w:t>A</w:t>
            </w:r>
            <w:r>
              <w:tab/>
              <w:t>Compétences</w:t>
            </w:r>
            <w:bookmarkEnd w:id="15"/>
          </w:p>
          <w:p w14:paraId="7CEF1F1C" w14:textId="77777777" w:rsidR="003566FC" w:rsidRPr="007C33AE" w:rsidRDefault="003566FC" w:rsidP="007F47AB">
            <w:pPr>
              <w:rPr>
                <w:lang w:val="fr-FR"/>
              </w:rPr>
            </w:pPr>
          </w:p>
        </w:tc>
      </w:tr>
      <w:tr w:rsidR="003566FC" w:rsidRPr="006C3A4D" w14:paraId="6A599298" w14:textId="77777777" w:rsidTr="00C465E6">
        <w:tc>
          <w:tcPr>
            <w:tcW w:w="9826" w:type="dxa"/>
          </w:tcPr>
          <w:p w14:paraId="3CFEDCF0" w14:textId="77777777" w:rsidR="003566FC" w:rsidRPr="007C33AE" w:rsidRDefault="003566FC">
            <w:pPr>
              <w:pStyle w:val="Einzug1"/>
              <w:rPr>
                <w:rFonts w:cs="Times New Roman"/>
                <w:szCs w:val="24"/>
              </w:rPr>
            </w:pPr>
            <w:r>
              <w:t>24.</w:t>
            </w:r>
            <w:r>
              <w:tab/>
              <w:t xml:space="preserve">Chaque Commandite donne droit à une quote-part proportionnelle au résultat de la Société (selon chiffres 73 et suivants) ainsi qu'à une voix à l’Assemblée des </w:t>
            </w:r>
            <w:proofErr w:type="gramStart"/>
            <w:r>
              <w:t>associés;</w:t>
            </w:r>
            <w:proofErr w:type="gramEnd"/>
            <w:r>
              <w:t xml:space="preserve"> les Commanditaires Promoteurs n'ont aucune part aux Fonds Propres Supplémentaires. Les Commanditaires exercent leur droit de vote dans le cadre de l’Assemblée des associés.</w:t>
            </w:r>
          </w:p>
          <w:p w14:paraId="186EB670" w14:textId="77777777" w:rsidR="003566FC" w:rsidRPr="007C33AE" w:rsidRDefault="003566FC">
            <w:pPr>
              <w:pStyle w:val="Einzug1"/>
              <w:rPr>
                <w:rFonts w:cs="Times New Roman"/>
                <w:szCs w:val="24"/>
                <w:lang w:val="fr-FR"/>
              </w:rPr>
            </w:pPr>
          </w:p>
        </w:tc>
      </w:tr>
      <w:tr w:rsidR="003566FC" w:rsidRPr="006C3A4D" w14:paraId="25E069F1" w14:textId="77777777" w:rsidTr="00C465E6">
        <w:tc>
          <w:tcPr>
            <w:tcW w:w="9826" w:type="dxa"/>
          </w:tcPr>
          <w:p w14:paraId="0959BBFF" w14:textId="77777777" w:rsidR="003566FC" w:rsidRPr="007C33AE" w:rsidRDefault="003566FC">
            <w:pPr>
              <w:pStyle w:val="Einzug1"/>
              <w:rPr>
                <w:rFonts w:cs="Times New Roman"/>
                <w:szCs w:val="24"/>
              </w:rPr>
            </w:pPr>
            <w:r>
              <w:t>25.</w:t>
            </w:r>
            <w:r>
              <w:tab/>
              <w:t xml:space="preserve">Les Commanditaires ne sont pas autorisés à intervenir dans la gestion des affaires. Si la SA indéfiniment responsable est confrontée à un conflit d’intérêts ou qu’elle se trouve empêchée pour toute autre raison de prendre une décision, l’Assemblée des associés </w:t>
            </w:r>
            <w:r>
              <w:rPr>
                <w:color w:val="FF0000"/>
              </w:rPr>
              <w:t>[</w:t>
            </w:r>
            <w:r>
              <w:rPr>
                <w:color w:val="FF0000"/>
                <w:highlight w:val="yellow"/>
              </w:rPr>
              <w:t xml:space="preserve">ou, à sa place, </w:t>
            </w:r>
            <w:r>
              <w:rPr>
                <w:color w:val="FF0000"/>
                <w:highlight w:val="yellow"/>
              </w:rPr>
              <w:lastRenderedPageBreak/>
              <w:t>le comité consultatif</w:t>
            </w:r>
            <w:r>
              <w:rPr>
                <w:color w:val="FF0000"/>
              </w:rPr>
              <w:t>]</w:t>
            </w:r>
            <w:r>
              <w:t xml:space="preserve"> est habilité à prendre la décision de principe correspondante. La mise en œuvre d’une telle décision et les démarches liées à celle-ci (examens préalables, etc.) incombent à la SA indéfiniment responsable.</w:t>
            </w:r>
          </w:p>
          <w:p w14:paraId="528DD2E5" w14:textId="77777777" w:rsidR="003566FC" w:rsidRPr="007C33AE" w:rsidRDefault="003566FC">
            <w:pPr>
              <w:pStyle w:val="Einzug1"/>
              <w:rPr>
                <w:rFonts w:cs="Times New Roman"/>
                <w:szCs w:val="24"/>
                <w:lang w:val="fr-FR"/>
              </w:rPr>
            </w:pPr>
          </w:p>
        </w:tc>
      </w:tr>
      <w:tr w:rsidR="003566FC" w:rsidRPr="006C3A4D" w14:paraId="5C7766BF" w14:textId="77777777" w:rsidTr="00C465E6">
        <w:tc>
          <w:tcPr>
            <w:tcW w:w="9826" w:type="dxa"/>
          </w:tcPr>
          <w:p w14:paraId="2D4D18B8" w14:textId="77777777" w:rsidR="003566FC" w:rsidRPr="007C33AE" w:rsidRDefault="003566FC" w:rsidP="001802F1">
            <w:pPr>
              <w:ind w:left="709" w:hanging="709"/>
              <w:rPr>
                <w:rFonts w:cs="Times New Roman"/>
                <w:szCs w:val="24"/>
              </w:rPr>
            </w:pPr>
            <w:r>
              <w:lastRenderedPageBreak/>
              <w:t>26.</w:t>
            </w:r>
            <w:r>
              <w:tab/>
              <w:t>Les Commanditaires peuvent gérer d’autres affaires pour leur propre compte ou pour le compte de tiers et participer à d’autres entreprises.</w:t>
            </w:r>
          </w:p>
          <w:p w14:paraId="01BA2057" w14:textId="77777777" w:rsidR="003566FC" w:rsidRPr="007C33AE" w:rsidRDefault="003566FC" w:rsidP="001802F1">
            <w:pPr>
              <w:ind w:left="709" w:hanging="709"/>
              <w:rPr>
                <w:rFonts w:cs="Times New Roman"/>
                <w:szCs w:val="24"/>
                <w:lang w:val="fr-FR"/>
              </w:rPr>
            </w:pPr>
          </w:p>
        </w:tc>
      </w:tr>
      <w:tr w:rsidR="003566FC" w:rsidRPr="00036771" w14:paraId="5EDB22D2" w14:textId="77777777" w:rsidTr="00C465E6">
        <w:tc>
          <w:tcPr>
            <w:tcW w:w="9826" w:type="dxa"/>
          </w:tcPr>
          <w:p w14:paraId="7C6B9642" w14:textId="37611078" w:rsidR="006F3FCC" w:rsidRPr="00036771" w:rsidRDefault="003566FC" w:rsidP="00036771">
            <w:pPr>
              <w:ind w:left="709" w:hanging="709"/>
            </w:pPr>
            <w:bookmarkStart w:id="16" w:name="_Ref157476604"/>
            <w:r>
              <w:t>27.</w:t>
            </w:r>
            <w:r>
              <w:tab/>
            </w:r>
            <w:r>
              <w:rPr>
                <w:rStyle w:val="AuswahltextZchn"/>
                <w:highlight w:val="yellow"/>
              </w:rPr>
              <w:t>[Les Commanditaires (y compris les Commanditaires Promoteurs) sont autorisés à investir directement dans les sociétés du portefeuille (ci-après</w:t>
            </w:r>
            <w:proofErr w:type="gramStart"/>
            <w:r>
              <w:rPr>
                <w:rStyle w:val="AuswahltextZchn"/>
                <w:highlight w:val="yellow"/>
              </w:rPr>
              <w:t xml:space="preserve"> </w:t>
            </w:r>
            <w:r>
              <w:rPr>
                <w:rStyle w:val="AuswahltextZchn"/>
                <w:b/>
                <w:color w:val="auto"/>
                <w:highlight w:val="yellow"/>
              </w:rPr>
              <w:t>«Co</w:t>
            </w:r>
            <w:proofErr w:type="gramEnd"/>
            <w:r>
              <w:rPr>
                <w:rStyle w:val="AuswahltextZchn"/>
                <w:b/>
                <w:color w:val="auto"/>
                <w:highlight w:val="yellow"/>
              </w:rPr>
              <w:t>-Investments»</w:t>
            </w:r>
            <w:r>
              <w:rPr>
                <w:rStyle w:val="AuswahltextZchn"/>
                <w:highlight w:val="yellow"/>
              </w:rPr>
              <w:t>), pour autant que les autres Commanditaires ne soient pas défavorisés et que l’égalité de traitement entre les Commanditaires soit préservée. En particulier, les conflits d’intérêts potentiels, la répartition des coûts et des émoluments ainsi que la répartition des coûts entre les tiers doivent être pris en compte. La décision concernant l’admissibilité et les conditions applicables relèvent de l’appréciation de la SA indéfiniment responsable [et du Comité consultatif].]</w:t>
            </w:r>
            <w:r w:rsidR="00036771" w:rsidRPr="007C31EE">
              <w:rPr>
                <w:vertAlign w:val="superscript"/>
              </w:rPr>
              <w:footnoteReference w:id="21"/>
            </w:r>
          </w:p>
          <w:bookmarkEnd w:id="16"/>
          <w:p w14:paraId="4670578A" w14:textId="77777777" w:rsidR="003566FC" w:rsidRPr="009E45AE" w:rsidRDefault="003566FC">
            <w:pPr>
              <w:rPr>
                <w:rFonts w:cs="Times New Roman"/>
                <w:szCs w:val="24"/>
              </w:rPr>
            </w:pPr>
          </w:p>
        </w:tc>
      </w:tr>
      <w:tr w:rsidR="003566FC" w:rsidRPr="003A5A1F" w14:paraId="5C69D20E" w14:textId="77777777" w:rsidTr="00C465E6">
        <w:tc>
          <w:tcPr>
            <w:tcW w:w="9826" w:type="dxa"/>
          </w:tcPr>
          <w:p w14:paraId="17D3BC64" w14:textId="3280F8C8" w:rsidR="003566FC" w:rsidRPr="007C33AE" w:rsidRDefault="007F47AB" w:rsidP="007F47AB">
            <w:pPr>
              <w:pStyle w:val="berschrift3"/>
            </w:pPr>
            <w:bookmarkStart w:id="17" w:name="_Toc94114397"/>
            <w:r>
              <w:t>B</w:t>
            </w:r>
            <w:r>
              <w:tab/>
              <w:t xml:space="preserve">Droit à </w:t>
            </w:r>
            <w:proofErr w:type="gramStart"/>
            <w:r>
              <w:t>l’information;</w:t>
            </w:r>
            <w:proofErr w:type="gramEnd"/>
            <w:r>
              <w:t xml:space="preserve"> confidentialité</w:t>
            </w:r>
            <w:bookmarkEnd w:id="17"/>
          </w:p>
          <w:p w14:paraId="30EF0399" w14:textId="77777777" w:rsidR="003566FC" w:rsidRPr="007C33AE" w:rsidRDefault="003566FC" w:rsidP="007F47AB">
            <w:pPr>
              <w:rPr>
                <w:lang w:val="fr-FR"/>
              </w:rPr>
            </w:pPr>
          </w:p>
        </w:tc>
      </w:tr>
      <w:tr w:rsidR="003566FC" w:rsidRPr="006C3A4D" w14:paraId="1CD74241" w14:textId="77777777" w:rsidTr="00C465E6">
        <w:tc>
          <w:tcPr>
            <w:tcW w:w="9826" w:type="dxa"/>
          </w:tcPr>
          <w:p w14:paraId="62AC5C3E" w14:textId="77777777" w:rsidR="003566FC" w:rsidRPr="007C33AE" w:rsidRDefault="003566FC">
            <w:pPr>
              <w:pStyle w:val="Einzug1"/>
              <w:rPr>
                <w:rFonts w:cs="Times New Roman"/>
                <w:szCs w:val="24"/>
              </w:rPr>
            </w:pPr>
            <w:r>
              <w:t>28.</w:t>
            </w:r>
            <w:r>
              <w:tab/>
              <w:t>Sous réserve du secret d’affaires des entreprises dans lesquelles la Société investit, les Commanditaires ont le droit de consulter les livres de la Société, pour autant que les intérêts de la Société n’en soient pas menacés. Les Commanditaires ont d’autre part droit à la reddition des comptes conformément au chiffre 67.</w:t>
            </w:r>
          </w:p>
          <w:p w14:paraId="095BABB7" w14:textId="77777777" w:rsidR="003566FC" w:rsidRPr="007C33AE" w:rsidRDefault="003566FC">
            <w:pPr>
              <w:rPr>
                <w:rFonts w:cs="Times New Roman"/>
                <w:szCs w:val="24"/>
                <w:lang w:val="fr-FR"/>
              </w:rPr>
            </w:pPr>
          </w:p>
        </w:tc>
      </w:tr>
      <w:tr w:rsidR="003566FC" w:rsidRPr="00036771" w14:paraId="009DA750" w14:textId="77777777" w:rsidTr="00C465E6">
        <w:tc>
          <w:tcPr>
            <w:tcW w:w="9826" w:type="dxa"/>
          </w:tcPr>
          <w:p w14:paraId="091588FD" w14:textId="46CCA59B" w:rsidR="003566FC" w:rsidRPr="00036771" w:rsidRDefault="003566FC">
            <w:pPr>
              <w:pStyle w:val="Einzug1"/>
              <w:rPr>
                <w:rFonts w:cs="Times New Roman"/>
                <w:szCs w:val="24"/>
              </w:rPr>
            </w:pPr>
            <w:r>
              <w:t>29.</w:t>
            </w:r>
            <w:r>
              <w:tab/>
              <w:t>La SA indéfiniment responsable donne aux Commanditaires accès aux comptes dans un délai de deux semaines à compter d’une requête écrite en ce sens. Si la SA indéfiniment responsable refuse une telle divulgation, le Commanditaire peut requérir qu’elle mandate la Société d’audit afin que celle-ci procède à l’éclaircissement et fournisse les renseignements requis, en tenant particulièrement compte des secrets d’affaires en présence et de tous les autres intérêts dignes de protection de la Société</w:t>
            </w:r>
          </w:p>
          <w:p w14:paraId="1A350F6E" w14:textId="77777777" w:rsidR="003566FC" w:rsidRPr="009E45AE" w:rsidRDefault="003566FC">
            <w:pPr>
              <w:pStyle w:val="Einzug1"/>
              <w:rPr>
                <w:rFonts w:cs="Times New Roman"/>
                <w:szCs w:val="24"/>
              </w:rPr>
            </w:pPr>
          </w:p>
        </w:tc>
      </w:tr>
      <w:tr w:rsidR="003566FC" w:rsidRPr="006C3A4D" w14:paraId="43EF7755" w14:textId="77777777" w:rsidTr="00C465E6">
        <w:tc>
          <w:tcPr>
            <w:tcW w:w="9826" w:type="dxa"/>
          </w:tcPr>
          <w:p w14:paraId="3B284BF4" w14:textId="77777777" w:rsidR="003566FC" w:rsidRPr="007C33AE" w:rsidRDefault="003566FC">
            <w:pPr>
              <w:pStyle w:val="Einzug1"/>
              <w:rPr>
                <w:rFonts w:cs="Times New Roman"/>
                <w:szCs w:val="24"/>
              </w:rPr>
            </w:pPr>
            <w:r>
              <w:t>30.</w:t>
            </w:r>
            <w:r>
              <w:tab/>
            </w:r>
            <w:r>
              <w:rPr>
                <w:rStyle w:val="AuswahltextZchn"/>
              </w:rPr>
              <w:t>[</w:t>
            </w:r>
            <w:r>
              <w:rPr>
                <w:rStyle w:val="AuswahltextZchn"/>
                <w:highlight w:val="yellow"/>
              </w:rPr>
              <w:t>Les Commanditaires sont tenus à un devoir de confidentialité.</w:t>
            </w:r>
            <w:r>
              <w:rPr>
                <w:rStyle w:val="AuswahltextZchn"/>
              </w:rPr>
              <w:t>]</w:t>
            </w:r>
            <w:r w:rsidR="00E30EFE" w:rsidRPr="00D0017C">
              <w:rPr>
                <w:rStyle w:val="Funotenzeichen"/>
                <w:szCs w:val="24"/>
                <w:lang w:val="fr-FR"/>
              </w:rPr>
              <w:footnoteReference w:id="22"/>
            </w:r>
          </w:p>
          <w:p w14:paraId="13F6A9B5" w14:textId="77777777" w:rsidR="003566FC" w:rsidRPr="007C33AE" w:rsidRDefault="003566FC">
            <w:pPr>
              <w:rPr>
                <w:rFonts w:cs="Times New Roman"/>
                <w:szCs w:val="24"/>
                <w:lang w:val="fr-FR"/>
              </w:rPr>
            </w:pPr>
          </w:p>
          <w:p w14:paraId="78D9506E" w14:textId="77777777" w:rsidR="006F3FCC" w:rsidRPr="007C33AE" w:rsidRDefault="006F3FCC">
            <w:pPr>
              <w:rPr>
                <w:rFonts w:cs="Times New Roman"/>
                <w:szCs w:val="24"/>
                <w:lang w:val="fr-FR"/>
              </w:rPr>
            </w:pPr>
          </w:p>
        </w:tc>
      </w:tr>
      <w:tr w:rsidR="003566FC" w:rsidRPr="003A5A1F" w14:paraId="276119F2" w14:textId="77777777" w:rsidTr="00C465E6">
        <w:tc>
          <w:tcPr>
            <w:tcW w:w="9826" w:type="dxa"/>
          </w:tcPr>
          <w:p w14:paraId="54C1DCF5" w14:textId="3BE9AD81" w:rsidR="003566FC" w:rsidRPr="007C33AE" w:rsidRDefault="007F47AB" w:rsidP="007F47AB">
            <w:pPr>
              <w:pStyle w:val="berschrift3"/>
            </w:pPr>
            <w:bookmarkStart w:id="18" w:name="_Toc94114398"/>
            <w:r>
              <w:t>C</w:t>
            </w:r>
            <w:r>
              <w:tab/>
              <w:t>Responsabilité</w:t>
            </w:r>
            <w:bookmarkEnd w:id="18"/>
          </w:p>
          <w:p w14:paraId="2C467E1E" w14:textId="77777777" w:rsidR="003566FC" w:rsidRPr="007C33AE" w:rsidRDefault="003566FC" w:rsidP="007F47AB">
            <w:pPr>
              <w:rPr>
                <w:lang w:val="fr-FR"/>
              </w:rPr>
            </w:pPr>
          </w:p>
        </w:tc>
      </w:tr>
      <w:tr w:rsidR="003566FC" w:rsidRPr="006C3A4D" w14:paraId="59C97050" w14:textId="77777777" w:rsidTr="00C465E6">
        <w:tc>
          <w:tcPr>
            <w:tcW w:w="9826" w:type="dxa"/>
          </w:tcPr>
          <w:p w14:paraId="532D129C" w14:textId="77777777" w:rsidR="003566FC" w:rsidRPr="007C33AE" w:rsidRDefault="003566FC">
            <w:pPr>
              <w:pStyle w:val="Einzug1"/>
              <w:rPr>
                <w:rFonts w:cs="Times New Roman"/>
                <w:szCs w:val="24"/>
              </w:rPr>
            </w:pPr>
            <w:r>
              <w:t>31.</w:t>
            </w:r>
            <w:r>
              <w:tab/>
              <w:t>Les Commanditaires répondent personnellement et solidairement des dettes de la Société, mais seulement à concurrence du montant de la Commandite souscrite par chaque Commanditaire.</w:t>
            </w:r>
          </w:p>
          <w:p w14:paraId="032FBF45" w14:textId="77777777" w:rsidR="003566FC" w:rsidRPr="007C33AE" w:rsidRDefault="003566FC">
            <w:pPr>
              <w:pStyle w:val="Einzug1"/>
              <w:rPr>
                <w:rFonts w:cs="Times New Roman"/>
                <w:szCs w:val="24"/>
                <w:lang w:val="fr-FR"/>
              </w:rPr>
            </w:pPr>
          </w:p>
        </w:tc>
      </w:tr>
      <w:tr w:rsidR="003566FC" w:rsidRPr="006C3A4D" w14:paraId="2B69C744" w14:textId="77777777" w:rsidTr="00C465E6">
        <w:tc>
          <w:tcPr>
            <w:tcW w:w="9826" w:type="dxa"/>
          </w:tcPr>
          <w:p w14:paraId="1FE69A63" w14:textId="77777777" w:rsidR="003566FC" w:rsidRPr="007C33AE" w:rsidRDefault="003566FC">
            <w:pPr>
              <w:pStyle w:val="Einzug1"/>
              <w:rPr>
                <w:rFonts w:cs="Times New Roman"/>
                <w:szCs w:val="24"/>
              </w:rPr>
            </w:pPr>
            <w:r>
              <w:t>32.</w:t>
            </w:r>
            <w:r>
              <w:tab/>
              <w:t xml:space="preserve">Pendant la durée de la Société, les Commanditaires ne peuvent pas être poursuivis par les créanciers de la Société. La mise en faillite d’un Commanditaire ne permet pas </w:t>
            </w:r>
            <w:r>
              <w:rPr>
                <w:i/>
              </w:rPr>
              <w:t>ipso facto</w:t>
            </w:r>
            <w:r>
              <w:t xml:space="preserve"> d’engager des poursuites à son encontre pour le paiement des dettes sociales.</w:t>
            </w:r>
          </w:p>
          <w:p w14:paraId="6CBD92F7" w14:textId="77777777" w:rsidR="003566FC" w:rsidRPr="007C33AE" w:rsidRDefault="003566FC">
            <w:pPr>
              <w:rPr>
                <w:rFonts w:cs="Times New Roman"/>
                <w:szCs w:val="24"/>
                <w:lang w:val="fr-FR"/>
              </w:rPr>
            </w:pPr>
          </w:p>
          <w:p w14:paraId="3FBC071D" w14:textId="77777777" w:rsidR="006F3FCC" w:rsidRPr="007C33AE" w:rsidRDefault="006F3FCC">
            <w:pPr>
              <w:rPr>
                <w:rFonts w:cs="Times New Roman"/>
                <w:szCs w:val="24"/>
                <w:lang w:val="fr-FR"/>
              </w:rPr>
            </w:pPr>
          </w:p>
        </w:tc>
      </w:tr>
      <w:tr w:rsidR="003566FC" w:rsidRPr="003A5A1F" w14:paraId="14AA493E" w14:textId="77777777" w:rsidTr="00C465E6">
        <w:tc>
          <w:tcPr>
            <w:tcW w:w="9826" w:type="dxa"/>
          </w:tcPr>
          <w:p w14:paraId="140E4C7B" w14:textId="264D1B09" w:rsidR="003566FC" w:rsidRPr="007C33AE" w:rsidRDefault="00CC64FC" w:rsidP="00272362">
            <w:pPr>
              <w:pStyle w:val="berschrift3"/>
              <w:pageBreakBefore/>
            </w:pPr>
            <w:bookmarkStart w:id="19" w:name="_Toc94114399"/>
            <w:r>
              <w:lastRenderedPageBreak/>
              <w:t>D</w:t>
            </w:r>
            <w:r>
              <w:tab/>
              <w:t>Transfert de parts</w:t>
            </w:r>
            <w:bookmarkEnd w:id="19"/>
          </w:p>
          <w:p w14:paraId="0398B6D2" w14:textId="77777777" w:rsidR="003566FC" w:rsidRPr="007C33AE" w:rsidRDefault="003566FC" w:rsidP="007F47AB">
            <w:pPr>
              <w:rPr>
                <w:lang w:val="fr-FR"/>
              </w:rPr>
            </w:pPr>
          </w:p>
        </w:tc>
      </w:tr>
      <w:tr w:rsidR="003566FC" w:rsidRPr="006C3A4D" w14:paraId="2C979B03" w14:textId="77777777" w:rsidTr="00C465E6">
        <w:tc>
          <w:tcPr>
            <w:tcW w:w="9826" w:type="dxa"/>
          </w:tcPr>
          <w:p w14:paraId="63C896C7" w14:textId="77777777" w:rsidR="003566FC" w:rsidRPr="007C33AE" w:rsidRDefault="003566FC">
            <w:pPr>
              <w:pStyle w:val="Einzug1"/>
              <w:rPr>
                <w:rFonts w:cs="Times New Roman"/>
                <w:szCs w:val="24"/>
              </w:rPr>
            </w:pPr>
            <w:bookmarkStart w:id="20" w:name="_Ref149877493"/>
            <w:r>
              <w:t>33.</w:t>
            </w:r>
            <w:r>
              <w:tab/>
              <w:t>Les Commanditaires ne peuvent pas réclamer le remboursement de leurs parts ou les restituer de toute autre manière à la Société. Ils peuvent aliéner leurs parts à d’autres Commanditaires ou à des tiers (un tel transfert emportant également cession de l’engagement de fournir des Fonds Propres Supplémentaires), si les acquéreurs agréent à une telle reprise conformément au chiffre 13 et que le nombre minimum de deux Commanditaires est respecté. Les acquéreurs doivent d’autre part être des investisseurs qualifiés. Le transfert à des tiers est subordonné à l’autorisation préalable de la SA indéfiniment responsable.</w:t>
            </w:r>
          </w:p>
          <w:bookmarkEnd w:id="20"/>
          <w:p w14:paraId="214D4688" w14:textId="77777777" w:rsidR="003566FC" w:rsidRPr="007C33AE" w:rsidRDefault="003566FC">
            <w:pPr>
              <w:pStyle w:val="Einzug1"/>
              <w:rPr>
                <w:rFonts w:cs="Times New Roman"/>
                <w:szCs w:val="24"/>
                <w:lang w:val="fr-FR"/>
              </w:rPr>
            </w:pPr>
          </w:p>
        </w:tc>
      </w:tr>
      <w:tr w:rsidR="003566FC" w:rsidRPr="008438CD" w14:paraId="31A63B4E" w14:textId="77777777" w:rsidTr="00C465E6">
        <w:tc>
          <w:tcPr>
            <w:tcW w:w="9826" w:type="dxa"/>
          </w:tcPr>
          <w:p w14:paraId="4F228021" w14:textId="1DF01526" w:rsidR="003566FC" w:rsidRDefault="003566FC">
            <w:pPr>
              <w:pStyle w:val="Einzug1"/>
              <w:rPr>
                <w:rFonts w:cs="Times New Roman"/>
                <w:szCs w:val="24"/>
              </w:rPr>
            </w:pPr>
            <w:r>
              <w:t>34.</w:t>
            </w:r>
            <w:r>
              <w:tab/>
              <w:t>La cession de parts doit d’abord être proposée aux autres Commanditaires. Le Commanditaire proposant l’offre la plus élevée l’emporte. Des offres partielles sont admises et sont prises en considération dans l’ordre des prix proposés. En présence d’offres identiques, les parts sont attribuées aux intéressés proportionnellement au montant de leur Commandite.</w:t>
            </w:r>
          </w:p>
          <w:p w14:paraId="1E6824C7" w14:textId="77777777" w:rsidR="008438CD" w:rsidRPr="008438CD" w:rsidRDefault="008438CD" w:rsidP="008438CD">
            <w:pPr>
              <w:rPr>
                <w:lang w:val="fr-FR"/>
              </w:rPr>
            </w:pPr>
          </w:p>
          <w:p w14:paraId="222F5342" w14:textId="04998968" w:rsidR="008438CD" w:rsidRPr="008438CD" w:rsidRDefault="008438CD" w:rsidP="00272362">
            <w:pPr>
              <w:pStyle w:val="Textkrper"/>
            </w:pPr>
            <w:r>
              <w:t xml:space="preserve">34a. </w:t>
            </w:r>
            <w:r>
              <w:tab/>
              <w:t>Tous les coûts liés au transfert de parts (p. ex. évaluation, clarifications fiscales, etc.) doivent être supportés par le Commanditaire vendeur, et les coûts occasionnés à la Société dans un tel contexte doivent être remboursés à la Société par le Commanditaire vendeur.</w:t>
            </w:r>
          </w:p>
          <w:p w14:paraId="799A5B1C" w14:textId="77777777" w:rsidR="003566FC" w:rsidRPr="009E45AE" w:rsidRDefault="003566FC">
            <w:pPr>
              <w:pStyle w:val="Einzug1"/>
              <w:rPr>
                <w:rFonts w:cs="Times New Roman"/>
                <w:szCs w:val="24"/>
              </w:rPr>
            </w:pPr>
          </w:p>
        </w:tc>
      </w:tr>
      <w:tr w:rsidR="003566FC" w:rsidRPr="006C3A4D" w14:paraId="5711C997" w14:textId="77777777" w:rsidTr="00C465E6">
        <w:tc>
          <w:tcPr>
            <w:tcW w:w="9826" w:type="dxa"/>
          </w:tcPr>
          <w:p w14:paraId="513DFC2C" w14:textId="77777777" w:rsidR="003566FC" w:rsidRPr="007C33AE" w:rsidRDefault="003566FC">
            <w:pPr>
              <w:pStyle w:val="Einzug1"/>
              <w:rPr>
                <w:rFonts w:cs="Times New Roman"/>
                <w:szCs w:val="24"/>
              </w:rPr>
            </w:pPr>
            <w:r>
              <w:t>35.</w:t>
            </w:r>
            <w:r>
              <w:tab/>
              <w:t xml:space="preserve">Le Commanditaire désireux de vendre communique son intention à la SA indéfiniment </w:t>
            </w:r>
            <w:proofErr w:type="gramStart"/>
            <w:r>
              <w:t>responsable;</w:t>
            </w:r>
            <w:proofErr w:type="gramEnd"/>
            <w:r>
              <w:t xml:space="preserve"> celle-ci transmet ensuite l’offre aux autres Commanditaires. Ces derniers répondent au plus tard sous </w:t>
            </w:r>
            <w:r>
              <w:rPr>
                <w:color w:val="FF0000"/>
              </w:rPr>
              <w:t>[</w:t>
            </w:r>
            <w:r>
              <w:rPr>
                <w:color w:val="FF0000"/>
                <w:highlight w:val="yellow"/>
              </w:rPr>
              <w:t>période, p. ex. un mois civil</w:t>
            </w:r>
            <w:r>
              <w:rPr>
                <w:color w:val="FF0000"/>
              </w:rPr>
              <w:t>]</w:t>
            </w:r>
            <w:r>
              <w:t>. Si aucune communication n’est faite dans le délai imparti, l’option d’achat née avec la communication se prescrit. D’éventuelles autres communications en relation avec le transfert de parts doivent également être faites dans un délai d’un mois à la SA indéfiniment responsable.</w:t>
            </w:r>
          </w:p>
          <w:p w14:paraId="51FFFFD8" w14:textId="77777777" w:rsidR="003566FC" w:rsidRPr="007C33AE" w:rsidRDefault="003566FC">
            <w:pPr>
              <w:rPr>
                <w:rFonts w:cs="Times New Roman"/>
                <w:szCs w:val="24"/>
                <w:lang w:val="fr-FR"/>
              </w:rPr>
            </w:pPr>
          </w:p>
          <w:p w14:paraId="6506F5D5" w14:textId="77777777" w:rsidR="006F3FCC" w:rsidRPr="007C33AE" w:rsidRDefault="006F3FCC">
            <w:pPr>
              <w:rPr>
                <w:rFonts w:cs="Times New Roman"/>
                <w:szCs w:val="24"/>
                <w:lang w:val="fr-FR"/>
              </w:rPr>
            </w:pPr>
          </w:p>
        </w:tc>
      </w:tr>
      <w:tr w:rsidR="003566FC" w:rsidRPr="006C3A4D" w14:paraId="00F3F3D3" w14:textId="77777777" w:rsidTr="00C465E6">
        <w:tc>
          <w:tcPr>
            <w:tcW w:w="9826" w:type="dxa"/>
          </w:tcPr>
          <w:p w14:paraId="606F7E32" w14:textId="6637B8E6" w:rsidR="003566FC" w:rsidRPr="007C33AE" w:rsidRDefault="007F47AB" w:rsidP="007F47AB">
            <w:pPr>
              <w:pStyle w:val="berschrift3"/>
            </w:pPr>
            <w:bookmarkStart w:id="21" w:name="_Toc94114400"/>
            <w:r>
              <w:t>E</w:t>
            </w:r>
            <w:r>
              <w:tab/>
              <w:t>Décès, faillite, perte de la capacité civile et exclusion d’un Commanditaire</w:t>
            </w:r>
            <w:bookmarkEnd w:id="21"/>
          </w:p>
          <w:p w14:paraId="304923EC" w14:textId="77777777" w:rsidR="003566FC" w:rsidRPr="007C33AE" w:rsidRDefault="003566FC" w:rsidP="007F47AB">
            <w:pPr>
              <w:rPr>
                <w:lang w:val="fr-FR"/>
              </w:rPr>
            </w:pPr>
          </w:p>
        </w:tc>
      </w:tr>
      <w:tr w:rsidR="003566FC" w:rsidRPr="00C465E6" w14:paraId="5B5AB62A" w14:textId="77777777" w:rsidTr="00C465E6">
        <w:tc>
          <w:tcPr>
            <w:tcW w:w="9826" w:type="dxa"/>
          </w:tcPr>
          <w:p w14:paraId="1F35559A" w14:textId="77777777" w:rsidR="00C465E6" w:rsidRPr="00102CB2" w:rsidRDefault="003566FC" w:rsidP="00C465E6">
            <w:pPr>
              <w:pStyle w:val="Einzug1"/>
            </w:pPr>
            <w:r>
              <w:t>36.</w:t>
            </w:r>
            <w:r>
              <w:tab/>
              <w:t xml:space="preserve">Le décès, la faillite, la perte de la capacité civile et les autres évènements similaires relatifs à un Commanditaire n’entraînent pas la dissolution de la Société. La Société habilite la SA indéfiniment responsable à exclure un Commanditaire mis en faillite et à racheter ses parts conformément à l’art. 615 (en lien avec l’art. 578) CO pour le compte de la Société au prix le plus bas de la valeur comptable conformément au dernier compte annuel audité, au capital effectivement investi du Commanditaire exclu ou à la valeur vénale actuelle </w:t>
            </w:r>
            <w:proofErr w:type="gramStart"/>
            <w:r>
              <w:t>(«fair</w:t>
            </w:r>
            <w:proofErr w:type="gramEnd"/>
            <w:r>
              <w:t xml:space="preserve"> market value»), pour autant qu’aucun Commanditaire ni tiers externe ne soit disposé à le faire.</w:t>
            </w:r>
          </w:p>
          <w:p w14:paraId="326B59A4" w14:textId="5C21BB00" w:rsidR="003566FC" w:rsidRPr="00C465E6" w:rsidRDefault="003566FC">
            <w:pPr>
              <w:pStyle w:val="Einzug1"/>
              <w:rPr>
                <w:rFonts w:cs="Times New Roman"/>
                <w:szCs w:val="24"/>
              </w:rPr>
            </w:pPr>
          </w:p>
        </w:tc>
      </w:tr>
      <w:tr w:rsidR="003566FC" w:rsidRPr="00C465E6" w14:paraId="6B38F2F6" w14:textId="77777777" w:rsidTr="00C465E6">
        <w:tc>
          <w:tcPr>
            <w:tcW w:w="9826" w:type="dxa"/>
          </w:tcPr>
          <w:p w14:paraId="420B59B0" w14:textId="7D3267BC" w:rsidR="003566FC" w:rsidRPr="00C465E6" w:rsidRDefault="003566FC">
            <w:pPr>
              <w:pStyle w:val="Einzug1"/>
              <w:rPr>
                <w:rFonts w:cs="Times New Roman"/>
                <w:szCs w:val="24"/>
              </w:rPr>
            </w:pPr>
            <w:r>
              <w:t>37.</w:t>
            </w:r>
            <w:r>
              <w:tab/>
              <w:t>La SA indéfiniment responsable peut exclure de la Société un Commanditaire qui ne remplit plus les conditions de souscription (cf. chiffre 18). Le même principe vaut pour les autres cas visés à l’article 105, al. 1 LPCC en lien avec l’article 82 LPCC. Après que la SA indéfiniment responsable a proposé sans succès aux autres Commanditaires d’acheter les parts du Commanditaire concerné conformément au chiffre 33 ss et qu’aucun tiers externe n’est disposé à les acheter, la SA indéfiniment responsable est en droit, pour le compte de la Société par déclaration écrite, d’acheter les parts du Commanditaire concerné au prix le plus bas de la valeur comptable conformément au dernier compte annuel audité, au capital effectivement investi du Commanditaire exclu ou à la valeur vénale actuelle («fair market value»).</w:t>
            </w:r>
          </w:p>
          <w:p w14:paraId="487C90CD" w14:textId="77777777" w:rsidR="003566FC" w:rsidRPr="009E45AE" w:rsidRDefault="003566FC">
            <w:pPr>
              <w:rPr>
                <w:rFonts w:cs="Times New Roman"/>
                <w:szCs w:val="24"/>
              </w:rPr>
            </w:pPr>
          </w:p>
          <w:p w14:paraId="2E241AD9" w14:textId="77777777" w:rsidR="00252C08" w:rsidRDefault="00252C08">
            <w:pPr>
              <w:rPr>
                <w:rFonts w:cs="Times New Roman"/>
                <w:szCs w:val="24"/>
              </w:rPr>
            </w:pPr>
          </w:p>
          <w:p w14:paraId="3FEFBD2B" w14:textId="56A5B52B" w:rsidR="00272362" w:rsidRPr="009E45AE" w:rsidRDefault="00272362">
            <w:pPr>
              <w:rPr>
                <w:rFonts w:cs="Times New Roman"/>
                <w:szCs w:val="24"/>
              </w:rPr>
            </w:pPr>
          </w:p>
        </w:tc>
      </w:tr>
      <w:tr w:rsidR="003566FC" w:rsidRPr="003A5A1F" w14:paraId="3097AD98" w14:textId="77777777" w:rsidTr="00C465E6">
        <w:tc>
          <w:tcPr>
            <w:tcW w:w="9826" w:type="dxa"/>
          </w:tcPr>
          <w:p w14:paraId="02CDA721" w14:textId="2E2CB82B" w:rsidR="003566FC" w:rsidRPr="00D0017C" w:rsidRDefault="002C7848" w:rsidP="00D0017C">
            <w:pPr>
              <w:pStyle w:val="berschrift2"/>
            </w:pPr>
            <w:bookmarkStart w:id="22" w:name="_Toc94114401"/>
            <w:r>
              <w:lastRenderedPageBreak/>
              <w:t>V</w:t>
            </w:r>
            <w:r>
              <w:tab/>
              <w:t>Assemblée des associés</w:t>
            </w:r>
            <w:bookmarkEnd w:id="22"/>
          </w:p>
          <w:p w14:paraId="269155DC" w14:textId="77777777" w:rsidR="003566FC" w:rsidRPr="007C33AE" w:rsidRDefault="003566FC">
            <w:pPr>
              <w:rPr>
                <w:rFonts w:cs="Times New Roman"/>
                <w:szCs w:val="24"/>
                <w:lang w:val="fr-FR"/>
              </w:rPr>
            </w:pPr>
          </w:p>
        </w:tc>
      </w:tr>
      <w:tr w:rsidR="003566FC" w:rsidRPr="003A5A1F" w14:paraId="22646FDB" w14:textId="77777777" w:rsidTr="00C465E6">
        <w:tc>
          <w:tcPr>
            <w:tcW w:w="9826" w:type="dxa"/>
          </w:tcPr>
          <w:p w14:paraId="45EB7470" w14:textId="4D7FEFC3" w:rsidR="003566FC" w:rsidRPr="007C33AE" w:rsidRDefault="007F47AB" w:rsidP="007F47AB">
            <w:pPr>
              <w:pStyle w:val="berschrift3"/>
            </w:pPr>
            <w:bookmarkStart w:id="23" w:name="_Toc94114402"/>
            <w:r>
              <w:t>A</w:t>
            </w:r>
            <w:r>
              <w:tab/>
              <w:t>Compétences</w:t>
            </w:r>
            <w:bookmarkEnd w:id="23"/>
          </w:p>
          <w:p w14:paraId="74DECCD1" w14:textId="77777777" w:rsidR="003566FC" w:rsidRPr="007C33AE" w:rsidRDefault="003566FC" w:rsidP="007F47AB">
            <w:pPr>
              <w:rPr>
                <w:lang w:val="fr-FR"/>
              </w:rPr>
            </w:pPr>
          </w:p>
        </w:tc>
      </w:tr>
      <w:tr w:rsidR="003566FC" w:rsidRPr="006C3A4D" w14:paraId="71C832B0" w14:textId="77777777" w:rsidTr="00C465E6">
        <w:tc>
          <w:tcPr>
            <w:tcW w:w="9826" w:type="dxa"/>
          </w:tcPr>
          <w:p w14:paraId="0223D6D7" w14:textId="1D410FF5" w:rsidR="003566FC" w:rsidRPr="007C33AE" w:rsidRDefault="003566FC">
            <w:pPr>
              <w:pStyle w:val="Einzug1"/>
              <w:rPr>
                <w:rFonts w:cs="Times New Roman"/>
                <w:szCs w:val="24"/>
              </w:rPr>
            </w:pPr>
            <w:r>
              <w:t>38.</w:t>
            </w:r>
            <w:r>
              <w:tab/>
              <w:t>L’Assemblée des associés est habilitée à prendre une décision, pour autant qu’aucun quorum plus élevé ne soit prévu dans le présent contrat, lorsque plus de la moitié de tous les Commanditaires sont représentés. Si le quorum n’est pas atteint, la SA indéfiniment responsable convoque une seconde assemblée, qui est alors valablement constituée même si le quorum n’est pas atteint.</w:t>
            </w:r>
          </w:p>
          <w:p w14:paraId="33F5A503" w14:textId="77777777" w:rsidR="003566FC" w:rsidRPr="007C33AE" w:rsidRDefault="003566FC" w:rsidP="001802F1">
            <w:pPr>
              <w:tabs>
                <w:tab w:val="left" w:pos="4159"/>
              </w:tabs>
              <w:rPr>
                <w:rFonts w:cs="Times New Roman"/>
                <w:szCs w:val="24"/>
                <w:lang w:val="fr-FR"/>
              </w:rPr>
            </w:pPr>
          </w:p>
        </w:tc>
      </w:tr>
      <w:tr w:rsidR="003566FC" w:rsidRPr="006C3A4D" w14:paraId="025F3F24" w14:textId="77777777" w:rsidTr="00C465E6">
        <w:tc>
          <w:tcPr>
            <w:tcW w:w="9826" w:type="dxa"/>
          </w:tcPr>
          <w:p w14:paraId="284D8F89" w14:textId="77777777" w:rsidR="003566FC" w:rsidRPr="007C33AE" w:rsidRDefault="003566FC">
            <w:pPr>
              <w:pStyle w:val="Einzug1"/>
              <w:rPr>
                <w:rFonts w:cs="Times New Roman"/>
                <w:szCs w:val="24"/>
              </w:rPr>
            </w:pPr>
            <w:r>
              <w:t>39.</w:t>
            </w:r>
            <w:r>
              <w:tab/>
              <w:t>L’Assemblée des associés décide à la majorité absolue de toutes les voix représentées de tous les objets que le présent contrat ne délègue pas à la SA indéfiniment responsable. Ceci concerne notamment les points suivants.</w:t>
            </w:r>
            <w:r w:rsidR="00EF0C59" w:rsidRPr="007C33AE">
              <w:rPr>
                <w:rStyle w:val="Funotenzeichen"/>
                <w:szCs w:val="24"/>
                <w:lang w:val="fr-FR"/>
              </w:rPr>
              <w:footnoteReference w:id="23"/>
            </w:r>
            <w:r>
              <w:t xml:space="preserve"> Si la majorité requise n’est pas atteinte, la SA indéfiniment responsable peut décider de soumettre l’objet à une seconde assemblée nouvellement convoquée, celle-ci décidant alors à la majorité simple.</w:t>
            </w:r>
          </w:p>
          <w:p w14:paraId="42884F83" w14:textId="77777777" w:rsidR="003566FC" w:rsidRPr="007C33AE" w:rsidRDefault="003566FC">
            <w:pPr>
              <w:pStyle w:val="Einzug1"/>
              <w:rPr>
                <w:rFonts w:cs="Times New Roman"/>
                <w:szCs w:val="24"/>
                <w:lang w:val="fr-FR"/>
              </w:rPr>
            </w:pPr>
          </w:p>
        </w:tc>
      </w:tr>
      <w:tr w:rsidR="003566FC" w:rsidRPr="006C3A4D" w14:paraId="0A7307F9" w14:textId="77777777" w:rsidTr="00C465E6">
        <w:tc>
          <w:tcPr>
            <w:tcW w:w="9826" w:type="dxa"/>
          </w:tcPr>
          <w:p w14:paraId="1B0606CC" w14:textId="77777777" w:rsidR="003566FC" w:rsidRPr="007C33AE" w:rsidRDefault="003566FC" w:rsidP="001802F1">
            <w:pPr>
              <w:pStyle w:val="Einzug1"/>
              <w:tabs>
                <w:tab w:val="left" w:pos="992"/>
              </w:tabs>
              <w:ind w:left="993" w:hanging="284"/>
              <w:rPr>
                <w:rFonts w:cs="Times New Roman"/>
                <w:szCs w:val="24"/>
              </w:rPr>
            </w:pPr>
            <w:r>
              <w:t>a)</w:t>
            </w:r>
            <w:r>
              <w:tab/>
              <w:t xml:space="preserve">appel aux Fonds Propres Supplémentaires à l’issue de la Phase d’Investissement et réinvestissement des liquidités générées par la liquidation des </w:t>
            </w:r>
            <w:proofErr w:type="gramStart"/>
            <w:r>
              <w:t>placements;</w:t>
            </w:r>
            <w:proofErr w:type="gramEnd"/>
          </w:p>
          <w:p w14:paraId="513F74DC" w14:textId="77777777" w:rsidR="003566FC" w:rsidRPr="007C33AE" w:rsidRDefault="003566FC">
            <w:pPr>
              <w:rPr>
                <w:rFonts w:cs="Times New Roman"/>
                <w:szCs w:val="24"/>
                <w:lang w:val="fr-FR"/>
              </w:rPr>
            </w:pPr>
          </w:p>
        </w:tc>
      </w:tr>
      <w:tr w:rsidR="003566FC" w:rsidRPr="006C3A4D" w14:paraId="2F9581AF" w14:textId="77777777" w:rsidTr="00C465E6">
        <w:tc>
          <w:tcPr>
            <w:tcW w:w="9826" w:type="dxa"/>
          </w:tcPr>
          <w:p w14:paraId="7A058C15" w14:textId="77777777" w:rsidR="003566FC" w:rsidRPr="007C33AE" w:rsidRDefault="003566FC">
            <w:pPr>
              <w:pStyle w:val="Einzug2"/>
              <w:rPr>
                <w:rFonts w:cs="Times New Roman"/>
                <w:szCs w:val="24"/>
              </w:rPr>
            </w:pPr>
            <w:r>
              <w:t>b)</w:t>
            </w:r>
            <w:r>
              <w:tab/>
              <w:t xml:space="preserve">prolongation de la durée de la Société de </w:t>
            </w:r>
            <w:r>
              <w:rPr>
                <w:rStyle w:val="AuswahltextZchn"/>
              </w:rPr>
              <w:t>[</w:t>
            </w:r>
            <w:r>
              <w:rPr>
                <w:rStyle w:val="AuswahltextZchn"/>
                <w:highlight w:val="yellow"/>
              </w:rPr>
              <w:t>nombre de prolongations (p. ex. deux)</w:t>
            </w:r>
            <w:r>
              <w:rPr>
                <w:rStyle w:val="AuswahltextZchn"/>
              </w:rPr>
              <w:t>]</w:t>
            </w:r>
            <w:r>
              <w:t xml:space="preserve"> fois </w:t>
            </w:r>
            <w:r>
              <w:rPr>
                <w:rStyle w:val="AuswahltextZchn"/>
              </w:rPr>
              <w:t>[</w:t>
            </w:r>
            <w:r>
              <w:rPr>
                <w:rStyle w:val="AuswahltextZchn"/>
                <w:highlight w:val="yellow"/>
              </w:rPr>
              <w:t>nombre d’années (p. ex. deux)</w:t>
            </w:r>
            <w:r>
              <w:rPr>
                <w:rStyle w:val="AuswahltextZchn"/>
              </w:rPr>
              <w:t>]</w:t>
            </w:r>
            <w:r>
              <w:t xml:space="preserve"> ans au </w:t>
            </w:r>
            <w:proofErr w:type="gramStart"/>
            <w:r>
              <w:t>maximum;</w:t>
            </w:r>
            <w:proofErr w:type="gramEnd"/>
          </w:p>
          <w:p w14:paraId="41DBFD69" w14:textId="77777777" w:rsidR="003566FC" w:rsidRPr="007C33AE" w:rsidRDefault="003566FC">
            <w:pPr>
              <w:rPr>
                <w:rFonts w:cs="Times New Roman"/>
                <w:szCs w:val="24"/>
                <w:lang w:val="fr-FR"/>
              </w:rPr>
            </w:pPr>
          </w:p>
        </w:tc>
      </w:tr>
      <w:tr w:rsidR="003566FC" w:rsidRPr="006C3A4D" w14:paraId="7FBCDDD1" w14:textId="77777777" w:rsidTr="00C465E6">
        <w:tc>
          <w:tcPr>
            <w:tcW w:w="9826" w:type="dxa"/>
          </w:tcPr>
          <w:p w14:paraId="159CD691" w14:textId="77777777" w:rsidR="003566FC" w:rsidRPr="007C33AE" w:rsidRDefault="003566FC">
            <w:pPr>
              <w:pStyle w:val="Einzug2"/>
              <w:rPr>
                <w:rFonts w:cs="Times New Roman"/>
                <w:szCs w:val="24"/>
              </w:rPr>
            </w:pPr>
            <w:r>
              <w:t>c)</w:t>
            </w:r>
            <w:r>
              <w:tab/>
              <w:t xml:space="preserve">prise de décision relative à la gestion des affaires, soumise par la SA indéfiniment responsable à l’Assemblée des associés en raison d’une situation de conflit d’intérêts ou pour tout autre </w:t>
            </w:r>
            <w:proofErr w:type="gramStart"/>
            <w:r>
              <w:t>motif;</w:t>
            </w:r>
            <w:proofErr w:type="gramEnd"/>
          </w:p>
          <w:p w14:paraId="3CE030CC" w14:textId="77777777" w:rsidR="003566FC" w:rsidRPr="007C33AE" w:rsidRDefault="003566FC">
            <w:pPr>
              <w:rPr>
                <w:rFonts w:cs="Times New Roman"/>
                <w:szCs w:val="24"/>
                <w:lang w:val="fr-FR"/>
              </w:rPr>
            </w:pPr>
          </w:p>
        </w:tc>
      </w:tr>
      <w:tr w:rsidR="003566FC" w:rsidRPr="006C3A4D" w14:paraId="60731449" w14:textId="77777777" w:rsidTr="00C465E6">
        <w:tc>
          <w:tcPr>
            <w:tcW w:w="9826" w:type="dxa"/>
          </w:tcPr>
          <w:p w14:paraId="0B96A7B8" w14:textId="77777777" w:rsidR="003566FC" w:rsidRPr="007C33AE" w:rsidRDefault="003566FC">
            <w:pPr>
              <w:pStyle w:val="Einzug2"/>
              <w:rPr>
                <w:rFonts w:cs="Times New Roman"/>
                <w:szCs w:val="24"/>
              </w:rPr>
            </w:pPr>
            <w:r>
              <w:t>d)</w:t>
            </w:r>
            <w:r>
              <w:tab/>
              <w:t xml:space="preserve">approbation des comptes </w:t>
            </w:r>
            <w:proofErr w:type="gramStart"/>
            <w:r>
              <w:t>annuels;</w:t>
            </w:r>
            <w:proofErr w:type="gramEnd"/>
          </w:p>
          <w:p w14:paraId="2DACFD02" w14:textId="77777777" w:rsidR="003566FC" w:rsidRPr="007C33AE" w:rsidRDefault="003566FC" w:rsidP="006B01D0">
            <w:pPr>
              <w:rPr>
                <w:lang w:val="fr-FR"/>
              </w:rPr>
            </w:pPr>
          </w:p>
        </w:tc>
      </w:tr>
      <w:tr w:rsidR="003566FC" w:rsidRPr="006C3A4D" w14:paraId="0CE08E36" w14:textId="77777777" w:rsidTr="00C465E6">
        <w:tc>
          <w:tcPr>
            <w:tcW w:w="9826" w:type="dxa"/>
          </w:tcPr>
          <w:p w14:paraId="39DE1733" w14:textId="77777777" w:rsidR="003566FC" w:rsidRPr="007C33AE" w:rsidRDefault="003566FC">
            <w:pPr>
              <w:pStyle w:val="Einzug2"/>
              <w:rPr>
                <w:rFonts w:cs="Times New Roman"/>
                <w:szCs w:val="24"/>
              </w:rPr>
            </w:pPr>
            <w:r>
              <w:t>e)</w:t>
            </w:r>
            <w:r>
              <w:tab/>
              <w:t xml:space="preserve">désignation de l’Organe de révision et de la Société </w:t>
            </w:r>
            <w:proofErr w:type="gramStart"/>
            <w:r>
              <w:t>d’audit;</w:t>
            </w:r>
            <w:proofErr w:type="gramEnd"/>
          </w:p>
          <w:p w14:paraId="182CE1D6" w14:textId="77777777" w:rsidR="003566FC" w:rsidRPr="007C33AE" w:rsidRDefault="003566FC" w:rsidP="006B01D0">
            <w:pPr>
              <w:rPr>
                <w:lang w:val="fr-FR"/>
              </w:rPr>
            </w:pPr>
          </w:p>
        </w:tc>
      </w:tr>
      <w:tr w:rsidR="003566FC" w:rsidRPr="00C465E6" w14:paraId="0025A724" w14:textId="77777777" w:rsidTr="00C465E6">
        <w:tc>
          <w:tcPr>
            <w:tcW w:w="9826" w:type="dxa"/>
          </w:tcPr>
          <w:p w14:paraId="1DBC5B53" w14:textId="6CC46BDF" w:rsidR="003566FC" w:rsidRPr="00C465E6" w:rsidRDefault="003566FC">
            <w:pPr>
              <w:pStyle w:val="Einzug2"/>
              <w:rPr>
                <w:rFonts w:cs="Times New Roman"/>
                <w:szCs w:val="24"/>
              </w:rPr>
            </w:pPr>
            <w:r>
              <w:t>f)</w:t>
            </w:r>
            <w:r>
              <w:tab/>
              <w:t xml:space="preserve">désignation ou révocation des membres du Comité </w:t>
            </w:r>
            <w:proofErr w:type="gramStart"/>
            <w:r>
              <w:t>consultatif;</w:t>
            </w:r>
            <w:proofErr w:type="gramEnd"/>
          </w:p>
          <w:p w14:paraId="5E085159" w14:textId="77777777" w:rsidR="003566FC" w:rsidRPr="009E45AE" w:rsidRDefault="003566FC" w:rsidP="006B01D0"/>
        </w:tc>
      </w:tr>
      <w:tr w:rsidR="003566FC" w:rsidRPr="006C3A4D" w14:paraId="0B9D66D1" w14:textId="77777777" w:rsidTr="00C465E6">
        <w:tc>
          <w:tcPr>
            <w:tcW w:w="9826" w:type="dxa"/>
          </w:tcPr>
          <w:p w14:paraId="3F89C175" w14:textId="77777777" w:rsidR="003566FC" w:rsidRPr="007C33AE" w:rsidRDefault="003566FC">
            <w:pPr>
              <w:pStyle w:val="Einzug2"/>
              <w:rPr>
                <w:rFonts w:cs="Times New Roman"/>
                <w:szCs w:val="24"/>
              </w:rPr>
            </w:pPr>
            <w:r>
              <w:t>g)</w:t>
            </w:r>
            <w:r>
              <w:tab/>
              <w:t xml:space="preserve">décharge donnée à la SA indéfiniment </w:t>
            </w:r>
            <w:proofErr w:type="gramStart"/>
            <w:r>
              <w:t>responsable;</w:t>
            </w:r>
            <w:proofErr w:type="gramEnd"/>
          </w:p>
          <w:p w14:paraId="22CF73E2" w14:textId="77777777" w:rsidR="003566FC" w:rsidRPr="007C33AE" w:rsidRDefault="003566FC" w:rsidP="006B01D0">
            <w:pPr>
              <w:rPr>
                <w:lang w:val="fr-FR"/>
              </w:rPr>
            </w:pPr>
          </w:p>
        </w:tc>
      </w:tr>
      <w:tr w:rsidR="003566FC" w:rsidRPr="00C465E6" w14:paraId="62131D04" w14:textId="77777777" w:rsidTr="00C465E6">
        <w:tc>
          <w:tcPr>
            <w:tcW w:w="9826" w:type="dxa"/>
          </w:tcPr>
          <w:p w14:paraId="307E1EDE" w14:textId="33F9FACF" w:rsidR="003566FC" w:rsidRPr="00C465E6" w:rsidRDefault="003566FC">
            <w:pPr>
              <w:pStyle w:val="Einzug2"/>
              <w:rPr>
                <w:rFonts w:cs="Times New Roman"/>
                <w:szCs w:val="24"/>
              </w:rPr>
            </w:pPr>
            <w:r>
              <w:t>h)</w:t>
            </w:r>
            <w:r>
              <w:tab/>
              <w:t>modifications du contrat de société, pour autant que ces modifications ne soient pas régies par la disposition figurant ci-après.</w:t>
            </w:r>
          </w:p>
          <w:p w14:paraId="7172F44D" w14:textId="77777777" w:rsidR="003566FC" w:rsidRPr="009E45AE" w:rsidRDefault="003566FC" w:rsidP="006B01D0"/>
        </w:tc>
      </w:tr>
      <w:tr w:rsidR="003566FC" w:rsidRPr="006C3A4D" w14:paraId="51005FD3" w14:textId="77777777" w:rsidTr="00C465E6">
        <w:tc>
          <w:tcPr>
            <w:tcW w:w="9826" w:type="dxa"/>
          </w:tcPr>
          <w:p w14:paraId="124D03CA" w14:textId="77777777" w:rsidR="003566FC" w:rsidRPr="007C33AE" w:rsidRDefault="003566FC" w:rsidP="007F47AB">
            <w:pPr>
              <w:pStyle w:val="Einzug1"/>
              <w:rPr>
                <w:rFonts w:cs="Times New Roman"/>
                <w:szCs w:val="24"/>
              </w:rPr>
            </w:pPr>
            <w:r>
              <w:t>40.</w:t>
            </w:r>
            <w:r>
              <w:tab/>
              <w:t xml:space="preserve">Les objets désignés ci-après requièrent une majorité qualifiée de </w:t>
            </w:r>
            <w:r>
              <w:rPr>
                <w:rStyle w:val="AuswahltextZchn1"/>
              </w:rPr>
              <w:t>[</w:t>
            </w:r>
            <w:r>
              <w:rPr>
                <w:rStyle w:val="AuswahltextZchn1"/>
                <w:highlight w:val="yellow"/>
              </w:rPr>
              <w:t>deux tiers</w:t>
            </w:r>
            <w:r>
              <w:rPr>
                <w:rStyle w:val="AuswahltextZchn1"/>
              </w:rPr>
              <w:t>]</w:t>
            </w:r>
            <w:r>
              <w:t xml:space="preserve"> des voix </w:t>
            </w:r>
            <w:proofErr w:type="gramStart"/>
            <w:r>
              <w:t>représentées:</w:t>
            </w:r>
            <w:proofErr w:type="gramEnd"/>
          </w:p>
          <w:p w14:paraId="2F970DFD" w14:textId="77777777" w:rsidR="003566FC" w:rsidRPr="007C33AE" w:rsidRDefault="003566FC" w:rsidP="001802F1">
            <w:pPr>
              <w:keepNext/>
              <w:keepLines/>
              <w:rPr>
                <w:rFonts w:cs="Times New Roman"/>
                <w:szCs w:val="24"/>
                <w:lang w:val="fr-FR"/>
              </w:rPr>
            </w:pPr>
          </w:p>
        </w:tc>
      </w:tr>
      <w:tr w:rsidR="003566FC" w:rsidRPr="006C3A4D" w14:paraId="25D4BD16" w14:textId="77777777" w:rsidTr="00C465E6">
        <w:tc>
          <w:tcPr>
            <w:tcW w:w="9826" w:type="dxa"/>
          </w:tcPr>
          <w:p w14:paraId="16691558" w14:textId="77777777" w:rsidR="003566FC" w:rsidRPr="007C33AE" w:rsidRDefault="003566FC">
            <w:pPr>
              <w:pStyle w:val="Einzug2"/>
              <w:rPr>
                <w:rFonts w:cs="Times New Roman"/>
                <w:szCs w:val="24"/>
              </w:rPr>
            </w:pPr>
            <w:r>
              <w:t>a)</w:t>
            </w:r>
            <w:r>
              <w:tab/>
              <w:t xml:space="preserve">révocation et/ou nouvelle désignation de la SA indéfiniment </w:t>
            </w:r>
            <w:proofErr w:type="gramStart"/>
            <w:r>
              <w:t>responsable;</w:t>
            </w:r>
            <w:proofErr w:type="gramEnd"/>
          </w:p>
          <w:p w14:paraId="586495D4" w14:textId="77777777" w:rsidR="003566FC" w:rsidRPr="007C33AE" w:rsidRDefault="003566FC" w:rsidP="006B01D0">
            <w:pPr>
              <w:rPr>
                <w:lang w:val="fr-FR"/>
              </w:rPr>
            </w:pPr>
          </w:p>
        </w:tc>
      </w:tr>
      <w:tr w:rsidR="003566FC" w:rsidRPr="006C3A4D" w14:paraId="34B17B60" w14:textId="77777777" w:rsidTr="00C465E6">
        <w:tc>
          <w:tcPr>
            <w:tcW w:w="9826" w:type="dxa"/>
          </w:tcPr>
          <w:p w14:paraId="6D66AB03" w14:textId="77777777" w:rsidR="003566FC" w:rsidRPr="007C33AE" w:rsidRDefault="003566FC">
            <w:pPr>
              <w:pStyle w:val="Einzug2"/>
              <w:rPr>
                <w:rFonts w:cs="Times New Roman"/>
                <w:szCs w:val="24"/>
              </w:rPr>
            </w:pPr>
            <w:r>
              <w:t>b)</w:t>
            </w:r>
            <w:r>
              <w:rPr>
                <w:rStyle w:val="AuswahltextZchn"/>
              </w:rPr>
              <w:tab/>
            </w:r>
            <w:r>
              <w:t xml:space="preserve">approbation d’une réorganisation ou décision relative au remplacement de la SA indéfiniment responsable, en cas de départ de personnes clé mentionnées dans le </w:t>
            </w:r>
            <w:proofErr w:type="gramStart"/>
            <w:r>
              <w:t>prospectus;</w:t>
            </w:r>
            <w:proofErr w:type="gramEnd"/>
          </w:p>
          <w:p w14:paraId="16BB90DF" w14:textId="77777777" w:rsidR="003566FC" w:rsidRPr="007C33AE" w:rsidRDefault="003566FC" w:rsidP="006B01D0">
            <w:pPr>
              <w:rPr>
                <w:lang w:val="fr-FR"/>
              </w:rPr>
            </w:pPr>
          </w:p>
        </w:tc>
      </w:tr>
      <w:tr w:rsidR="003566FC" w:rsidRPr="006C3A4D" w14:paraId="2042EEEB" w14:textId="77777777" w:rsidTr="00C465E6">
        <w:tc>
          <w:tcPr>
            <w:tcW w:w="9826" w:type="dxa"/>
          </w:tcPr>
          <w:p w14:paraId="17D6ECD7" w14:textId="77777777" w:rsidR="003566FC" w:rsidRPr="007C33AE" w:rsidRDefault="003566FC" w:rsidP="001802F1">
            <w:pPr>
              <w:pStyle w:val="Einzug2"/>
              <w:numPr>
                <w:ilvl w:val="0"/>
                <w:numId w:val="5"/>
              </w:numPr>
              <w:tabs>
                <w:tab w:val="clear" w:pos="1069"/>
              </w:tabs>
              <w:ind w:left="993" w:hanging="284"/>
              <w:rPr>
                <w:rFonts w:cs="Times New Roman"/>
                <w:szCs w:val="24"/>
              </w:rPr>
            </w:pPr>
            <w:proofErr w:type="gramStart"/>
            <w:r>
              <w:t>délégation</w:t>
            </w:r>
            <w:proofErr w:type="gramEnd"/>
            <w:r>
              <w:t xml:space="preserve"> du pouvoir de gestion par la SA indéfiniment responsable à des tiers et modification importante des conditions applicables;</w:t>
            </w:r>
          </w:p>
          <w:p w14:paraId="2B48BB37" w14:textId="77777777" w:rsidR="003566FC" w:rsidRPr="007C33AE" w:rsidRDefault="003566FC">
            <w:pPr>
              <w:rPr>
                <w:rFonts w:cs="Times New Roman"/>
                <w:szCs w:val="24"/>
                <w:lang w:val="fr-FR"/>
              </w:rPr>
            </w:pPr>
          </w:p>
        </w:tc>
      </w:tr>
      <w:tr w:rsidR="003566FC" w:rsidRPr="006C3A4D" w14:paraId="2FCE7D05" w14:textId="77777777" w:rsidTr="00C465E6">
        <w:tc>
          <w:tcPr>
            <w:tcW w:w="9826" w:type="dxa"/>
          </w:tcPr>
          <w:p w14:paraId="6D6DFEA2" w14:textId="7134D435" w:rsidR="003566FC" w:rsidRPr="00272362" w:rsidRDefault="003566FC" w:rsidP="00272362">
            <w:pPr>
              <w:pStyle w:val="Einzug2"/>
              <w:rPr>
                <w:rFonts w:cs="Times New Roman"/>
                <w:szCs w:val="24"/>
              </w:rPr>
            </w:pPr>
            <w:r>
              <w:t>d)</w:t>
            </w:r>
            <w:r>
              <w:tab/>
              <w:t xml:space="preserve">modification de la politique de placement et des directives de placement conformément aux chiffres 21 et </w:t>
            </w:r>
            <w:proofErr w:type="gramStart"/>
            <w:r>
              <w:t>suivants;</w:t>
            </w:r>
            <w:proofErr w:type="gramEnd"/>
          </w:p>
        </w:tc>
      </w:tr>
      <w:tr w:rsidR="003566FC" w:rsidRPr="006C3A4D" w14:paraId="3A6E4B5F" w14:textId="77777777" w:rsidTr="00C465E6">
        <w:tc>
          <w:tcPr>
            <w:tcW w:w="9826" w:type="dxa"/>
          </w:tcPr>
          <w:p w14:paraId="1F9EFF83" w14:textId="77777777" w:rsidR="003566FC" w:rsidRPr="007C33AE" w:rsidRDefault="003566FC" w:rsidP="00272362">
            <w:pPr>
              <w:pStyle w:val="Einzug2"/>
              <w:pageBreakBefore/>
              <w:rPr>
                <w:rFonts w:cs="Times New Roman"/>
                <w:szCs w:val="24"/>
              </w:rPr>
            </w:pPr>
            <w:r>
              <w:lastRenderedPageBreak/>
              <w:t>e)</w:t>
            </w:r>
            <w:r>
              <w:tab/>
              <w:t xml:space="preserve">dissolution anticipée et liquidation de la </w:t>
            </w:r>
            <w:proofErr w:type="gramStart"/>
            <w:r>
              <w:t>Société;</w:t>
            </w:r>
            <w:proofErr w:type="gramEnd"/>
          </w:p>
          <w:p w14:paraId="31BCFE23" w14:textId="77777777" w:rsidR="003566FC" w:rsidRPr="007C33AE" w:rsidRDefault="003566FC" w:rsidP="006B01D0">
            <w:pPr>
              <w:rPr>
                <w:lang w:val="fr-FR"/>
              </w:rPr>
            </w:pPr>
          </w:p>
        </w:tc>
      </w:tr>
      <w:tr w:rsidR="003566FC" w:rsidRPr="006C3A4D" w14:paraId="7EEDD076" w14:textId="77777777" w:rsidTr="00C465E6">
        <w:tc>
          <w:tcPr>
            <w:tcW w:w="9826" w:type="dxa"/>
          </w:tcPr>
          <w:p w14:paraId="344E605E" w14:textId="77777777" w:rsidR="003566FC" w:rsidRPr="007C33AE" w:rsidRDefault="003566FC">
            <w:pPr>
              <w:pStyle w:val="Einzug2"/>
              <w:rPr>
                <w:rFonts w:cs="Times New Roman"/>
                <w:szCs w:val="24"/>
              </w:rPr>
            </w:pPr>
            <w:bookmarkStart w:id="24" w:name="_Ref161291801"/>
            <w:r>
              <w:t>f)</w:t>
            </w:r>
            <w:r>
              <w:tab/>
              <w:t xml:space="preserve">utilisation d’excédents de liquidités qui dépassent les remboursements et les versements </w:t>
            </w:r>
            <w:proofErr w:type="gramStart"/>
            <w:r>
              <w:t>planifiés;</w:t>
            </w:r>
            <w:proofErr w:type="gramEnd"/>
          </w:p>
          <w:bookmarkEnd w:id="24"/>
          <w:p w14:paraId="3DD3BC5B" w14:textId="77777777" w:rsidR="003566FC" w:rsidRPr="007C33AE" w:rsidRDefault="003566FC" w:rsidP="006B01D0">
            <w:pPr>
              <w:rPr>
                <w:lang w:val="fr-FR"/>
              </w:rPr>
            </w:pPr>
          </w:p>
        </w:tc>
      </w:tr>
      <w:tr w:rsidR="003566FC" w:rsidRPr="006C3A4D" w14:paraId="40765C71" w14:textId="77777777" w:rsidTr="00C465E6">
        <w:tc>
          <w:tcPr>
            <w:tcW w:w="9826" w:type="dxa"/>
          </w:tcPr>
          <w:p w14:paraId="0463442B" w14:textId="6D43C95C" w:rsidR="003566FC" w:rsidRPr="009E45AE" w:rsidRDefault="003566FC">
            <w:pPr>
              <w:pStyle w:val="Einzug2"/>
              <w:rPr>
                <w:rFonts w:cs="Times New Roman"/>
                <w:strike/>
                <w:szCs w:val="24"/>
              </w:rPr>
            </w:pPr>
            <w:r w:rsidRPr="007A0261">
              <w:t>g)</w:t>
            </w:r>
            <w:r w:rsidRPr="007A0261">
              <w:tab/>
            </w:r>
            <w:r w:rsidRPr="009E45AE">
              <w:rPr>
                <w:i/>
              </w:rPr>
              <w:t>abrogé</w:t>
            </w:r>
          </w:p>
          <w:p w14:paraId="6F3ADE7D" w14:textId="77777777" w:rsidR="003566FC" w:rsidRPr="007C33AE" w:rsidRDefault="003566FC">
            <w:pPr>
              <w:rPr>
                <w:rFonts w:cs="Times New Roman"/>
                <w:szCs w:val="24"/>
                <w:lang w:val="fr-FR"/>
              </w:rPr>
            </w:pPr>
          </w:p>
        </w:tc>
      </w:tr>
      <w:tr w:rsidR="003566FC" w:rsidRPr="006C3A4D" w14:paraId="5E220175" w14:textId="77777777" w:rsidTr="00C465E6">
        <w:tc>
          <w:tcPr>
            <w:tcW w:w="9826" w:type="dxa"/>
          </w:tcPr>
          <w:p w14:paraId="17C53EC8" w14:textId="77777777" w:rsidR="003566FC" w:rsidRPr="007C33AE" w:rsidRDefault="003566FC">
            <w:pPr>
              <w:pStyle w:val="Einzug2"/>
              <w:rPr>
                <w:rFonts w:cs="Times New Roman"/>
                <w:szCs w:val="24"/>
              </w:rPr>
            </w:pPr>
            <w:r>
              <w:t>h)</w:t>
            </w:r>
            <w:r>
              <w:tab/>
              <w:t>instauration d’un Comité consultatif et fixation de ses compétences.</w:t>
            </w:r>
          </w:p>
          <w:p w14:paraId="05064F6F" w14:textId="77777777" w:rsidR="003566FC" w:rsidRPr="007C33AE" w:rsidRDefault="003566FC">
            <w:pPr>
              <w:rPr>
                <w:rFonts w:cs="Times New Roman"/>
                <w:szCs w:val="24"/>
                <w:lang w:val="fr-FR"/>
              </w:rPr>
            </w:pPr>
          </w:p>
        </w:tc>
      </w:tr>
      <w:tr w:rsidR="003566FC" w:rsidRPr="00C465E6" w14:paraId="5A3586E6" w14:textId="77777777" w:rsidTr="00C465E6">
        <w:tc>
          <w:tcPr>
            <w:tcW w:w="9826" w:type="dxa"/>
          </w:tcPr>
          <w:p w14:paraId="599EBED1" w14:textId="5C90B3CC" w:rsidR="003566FC" w:rsidRPr="00C465E6" w:rsidRDefault="003566FC">
            <w:pPr>
              <w:pStyle w:val="Einzug1"/>
              <w:rPr>
                <w:rFonts w:cs="Times New Roman"/>
                <w:szCs w:val="24"/>
              </w:rPr>
            </w:pPr>
            <w:r>
              <w:t>41.</w:t>
            </w:r>
            <w:r>
              <w:tab/>
              <w:t>La SA indéfiniment responsable informe l’autorité de surveillance des décisions de l’Assemblée des associés qui portent sur des modifications du présent contrat ou qui concernent la SA indéfiniment responsable.</w:t>
            </w:r>
            <w:r w:rsidR="00C465E6" w:rsidRPr="00C465E6">
              <w:rPr>
                <w:vertAlign w:val="superscript"/>
              </w:rPr>
              <w:footnoteReference w:id="24"/>
            </w:r>
          </w:p>
          <w:p w14:paraId="3A0B458C" w14:textId="77777777" w:rsidR="003566FC" w:rsidRPr="009E45AE" w:rsidRDefault="003566FC">
            <w:pPr>
              <w:rPr>
                <w:rFonts w:cs="Times New Roman"/>
                <w:szCs w:val="24"/>
              </w:rPr>
            </w:pPr>
          </w:p>
          <w:p w14:paraId="5D77DBBB" w14:textId="77777777" w:rsidR="006F3FCC" w:rsidRPr="009E45AE" w:rsidRDefault="006F3FCC">
            <w:pPr>
              <w:rPr>
                <w:rFonts w:cs="Times New Roman"/>
                <w:szCs w:val="24"/>
              </w:rPr>
            </w:pPr>
          </w:p>
        </w:tc>
      </w:tr>
      <w:tr w:rsidR="003566FC" w:rsidRPr="00C465E6" w14:paraId="12F1F6C3" w14:textId="77777777" w:rsidTr="00C465E6">
        <w:tc>
          <w:tcPr>
            <w:tcW w:w="9826" w:type="dxa"/>
          </w:tcPr>
          <w:p w14:paraId="528509F5" w14:textId="585A06A9" w:rsidR="003566FC" w:rsidRPr="00C465E6" w:rsidRDefault="00B600F9" w:rsidP="006B01D0">
            <w:pPr>
              <w:pStyle w:val="berschrift3"/>
            </w:pPr>
            <w:bookmarkStart w:id="25" w:name="_Toc94114403"/>
            <w:r>
              <w:t>B</w:t>
            </w:r>
            <w:r>
              <w:tab/>
              <w:t>Convocation et tenue de l’Assemblée des associés</w:t>
            </w:r>
            <w:bookmarkEnd w:id="25"/>
          </w:p>
          <w:p w14:paraId="54DBE521" w14:textId="77777777" w:rsidR="003566FC" w:rsidRPr="009E45AE" w:rsidRDefault="003566FC">
            <w:pPr>
              <w:rPr>
                <w:rFonts w:cs="Times New Roman"/>
                <w:szCs w:val="24"/>
              </w:rPr>
            </w:pPr>
          </w:p>
        </w:tc>
      </w:tr>
      <w:tr w:rsidR="003566FC" w:rsidRPr="006C3A4D" w14:paraId="0A036B52" w14:textId="77777777" w:rsidTr="00C465E6">
        <w:tc>
          <w:tcPr>
            <w:tcW w:w="9826" w:type="dxa"/>
          </w:tcPr>
          <w:p w14:paraId="166F66B4" w14:textId="3E885352" w:rsidR="00C465E6" w:rsidRDefault="003566FC" w:rsidP="00C465E6">
            <w:pPr>
              <w:pStyle w:val="Einzug1"/>
            </w:pPr>
            <w:r>
              <w:t>42.</w:t>
            </w:r>
            <w:r>
              <w:tab/>
              <w:t>La SA indéfiniment responsable est chargée de convoquer l’Assemblée des associés. Cette convocation intervient au moins un mois civil avant l'assemblée, en précisant les objets inscrits à l'ordre du jour et en fournissant en annexe la documentation nécessaire. Les assemblées ordinaires se tiennent une fois par an dans un délai de 6 (six) mois après la fin de l’exercice.</w:t>
            </w:r>
          </w:p>
          <w:p w14:paraId="0EF13AD2" w14:textId="77777777" w:rsidR="005A6A3F" w:rsidRPr="005A6A3F" w:rsidRDefault="005A6A3F" w:rsidP="005A6A3F"/>
          <w:p w14:paraId="631F4AAF" w14:textId="38EEBF3A" w:rsidR="0073572E" w:rsidRPr="009E45AE" w:rsidRDefault="0073572E" w:rsidP="0073572E">
            <w:pPr>
              <w:pStyle w:val="Einzug1"/>
              <w:rPr>
                <w:rFonts w:cs="Times New Roman"/>
                <w:szCs w:val="24"/>
              </w:rPr>
            </w:pPr>
            <w:r>
              <w:t>43.</w:t>
            </w:r>
            <w:r>
              <w:tab/>
              <w:t>Sur requête de la SA indéfiniment responsable et sous réserve de l’opposition d’au moins 10% de toutes les Commandites, l'Assemblée des associés peut approuver par écrit les propositions soumises par la SA indéfiniment responsable. Les exigences de majorité des voix citées ci-dessus sont applicables à la prise de décision (cf. chiffres 38 et suivants).</w:t>
            </w:r>
          </w:p>
          <w:p w14:paraId="3F61122F" w14:textId="77777777" w:rsidR="003566FC" w:rsidRPr="009E45AE" w:rsidRDefault="003566FC">
            <w:pPr>
              <w:pStyle w:val="Einzug1"/>
              <w:rPr>
                <w:rFonts w:cs="Times New Roman"/>
                <w:szCs w:val="24"/>
              </w:rPr>
            </w:pPr>
          </w:p>
        </w:tc>
      </w:tr>
      <w:tr w:rsidR="00C465E6" w:rsidRPr="00A93B5B" w14:paraId="32D9A007" w14:textId="77777777" w:rsidTr="00C465E6">
        <w:tc>
          <w:tcPr>
            <w:tcW w:w="9826" w:type="dxa"/>
          </w:tcPr>
          <w:p w14:paraId="22F87A75" w14:textId="77777777" w:rsidR="00C465E6" w:rsidRDefault="00C465E6" w:rsidP="00C465E6">
            <w:pPr>
              <w:pStyle w:val="Einzug1"/>
            </w:pPr>
            <w:r>
              <w:t>43a.</w:t>
            </w:r>
            <w:r>
              <w:tab/>
              <w:t>Si tous les associés sont présents ou si les associés présents renoncent préalablement ou ultérieurement à cette exigence de forme, il peut être fait abstraction du respect des exigences de forme prescrites pour la convocation en application analogue de l’art. 701 CO.</w:t>
            </w:r>
          </w:p>
          <w:p w14:paraId="317E94B9" w14:textId="77777777" w:rsidR="00C465E6" w:rsidRDefault="00C465E6" w:rsidP="00C465E6"/>
          <w:p w14:paraId="601C5C37" w14:textId="77777777" w:rsidR="00C465E6" w:rsidRDefault="00C465E6" w:rsidP="00C465E6">
            <w:pPr>
              <w:ind w:left="709" w:hanging="709"/>
            </w:pPr>
            <w:r>
              <w:t>43b.</w:t>
            </w:r>
            <w:r>
              <w:tab/>
              <w:t>À l’appréciation de la SA indéfiniment responsable, les Commanditaires peuvent aussi participer à une Assemblée des associés par vidéoconférence, téléconférence ou au moyen d’autres outils technologiques, pour autant que tous les associés participant à l’Assemblée des associés puissent entendre le vote respectif des autres associés.</w:t>
            </w:r>
          </w:p>
          <w:p w14:paraId="3B0A901C" w14:textId="77777777" w:rsidR="00C465E6" w:rsidRDefault="00C465E6" w:rsidP="00C465E6">
            <w:pPr>
              <w:ind w:left="709" w:hanging="709"/>
            </w:pPr>
          </w:p>
          <w:p w14:paraId="1F474BC1" w14:textId="77777777" w:rsidR="00C465E6" w:rsidRPr="00C5112D" w:rsidRDefault="00C465E6" w:rsidP="00C465E6">
            <w:pPr>
              <w:ind w:left="709" w:hanging="709"/>
            </w:pPr>
            <w:r>
              <w:t>43c.</w:t>
            </w:r>
            <w:r>
              <w:tab/>
              <w:t xml:space="preserve">Les décisions qui ne concernent pas une modification du contrat de société selon le chiffre 43e peuvent être prises par voie écrite (en particulier par </w:t>
            </w:r>
            <w:proofErr w:type="gramStart"/>
            <w:r>
              <w:t>e-mail</w:t>
            </w:r>
            <w:proofErr w:type="gramEnd"/>
            <w:r>
              <w:t xml:space="preserve"> ou un mode de communication comparable), sauf si au moins 10 (dix)% de toutes les Commandites sollicitent une délibération orale de la part de la SA indéfiniment responsable dans un délai de 10 (dix) jours ouvrables suivant le dépôt de la demande. Les décisions par voie écrite ne sont valables que </w:t>
            </w:r>
          </w:p>
          <w:p w14:paraId="7B742C6F" w14:textId="77777777" w:rsidR="00C465E6" w:rsidRPr="007C33AE" w:rsidRDefault="00C465E6" w:rsidP="00C465E6">
            <w:pPr>
              <w:rPr>
                <w:lang w:val="fr-FR"/>
              </w:rPr>
            </w:pPr>
          </w:p>
        </w:tc>
      </w:tr>
      <w:tr w:rsidR="00C465E6" w:rsidRPr="003A5A1F" w14:paraId="05C87A30" w14:textId="77777777" w:rsidTr="00C465E6">
        <w:tc>
          <w:tcPr>
            <w:tcW w:w="9826" w:type="dxa"/>
          </w:tcPr>
          <w:p w14:paraId="73F7D58D" w14:textId="58D9072A" w:rsidR="00C465E6" w:rsidRPr="009E45AE" w:rsidRDefault="00C465E6" w:rsidP="005A6A3F">
            <w:pPr>
              <w:pStyle w:val="Textkrper-Einzug2"/>
              <w:numPr>
                <w:ilvl w:val="0"/>
                <w:numId w:val="10"/>
              </w:numPr>
            </w:pPr>
            <w:proofErr w:type="gramStart"/>
            <w:r>
              <w:t>lorsque</w:t>
            </w:r>
            <w:proofErr w:type="gramEnd"/>
            <w:r>
              <w:t xml:space="preserve"> les demandes ont été notifiées à tous les associés (à la dernière adresse connue de la Société);</w:t>
            </w:r>
          </w:p>
        </w:tc>
      </w:tr>
      <w:tr w:rsidR="00C465E6" w:rsidRPr="00C465E6" w14:paraId="384FE351" w14:textId="77777777" w:rsidTr="00C465E6">
        <w:tc>
          <w:tcPr>
            <w:tcW w:w="9826" w:type="dxa"/>
          </w:tcPr>
          <w:p w14:paraId="76A1CD5A" w14:textId="4F573FF4" w:rsidR="00C465E6" w:rsidRPr="00C465E6" w:rsidRDefault="00C465E6" w:rsidP="009E45AE">
            <w:pPr>
              <w:ind w:left="1171" w:hanging="425"/>
            </w:pPr>
            <w:r>
              <w:t>b.</w:t>
            </w:r>
            <w:r>
              <w:tab/>
              <w:t>lorsqu’elles ont été approuvées par une majorité (absolue) des Commanditaires (pour autant que les dispositions sur la majorité qualifiée n’exigent pas un quorum plus élevé</w:t>
            </w:r>
            <w:proofErr w:type="gramStart"/>
            <w:r>
              <w:t>);</w:t>
            </w:r>
            <w:proofErr w:type="gramEnd"/>
            <w:r>
              <w:t xml:space="preserve"> et </w:t>
            </w:r>
          </w:p>
        </w:tc>
      </w:tr>
      <w:tr w:rsidR="00C465E6" w:rsidRPr="003A5A1F" w14:paraId="3ECFA8B7" w14:textId="77777777" w:rsidTr="00C465E6">
        <w:tc>
          <w:tcPr>
            <w:tcW w:w="9826" w:type="dxa"/>
          </w:tcPr>
          <w:p w14:paraId="613D63A8" w14:textId="1BD65C51" w:rsidR="00C465E6" w:rsidRDefault="00C465E6" w:rsidP="004945C8">
            <w:pPr>
              <w:pStyle w:val="Textkrper-Einzug2"/>
              <w:ind w:left="1171"/>
            </w:pPr>
            <w:r>
              <w:t xml:space="preserve">c. </w:t>
            </w:r>
            <w:r>
              <w:tab/>
              <w:t>lorsque la Société d’audit assistant le conseil d’administration confirme à la SA indéfiniment responsable que ces prescriptions ont été respectées.</w:t>
            </w:r>
          </w:p>
          <w:p w14:paraId="14A1521C" w14:textId="2D620B49" w:rsidR="004945C8" w:rsidRPr="009E45AE" w:rsidRDefault="004945C8" w:rsidP="004945C8"/>
          <w:p w14:paraId="2D7EC05F" w14:textId="77777777" w:rsidR="004945C8" w:rsidRPr="004945C8" w:rsidRDefault="004945C8" w:rsidP="009E45AE">
            <w:pPr>
              <w:ind w:left="746" w:hanging="746"/>
            </w:pPr>
            <w:r>
              <w:lastRenderedPageBreak/>
              <w:t>43d.</w:t>
            </w:r>
            <w:r>
              <w:tab/>
              <w:t>Les dispositions du présent contrat prévoyant des majorités supérieures à la majorité absolue des Commanditaires présents pour la prise de certaines décisions ne peuvent être adoptées ou modifiées qu’à la majorité prévue.</w:t>
            </w:r>
          </w:p>
          <w:p w14:paraId="2557AA1E" w14:textId="77777777" w:rsidR="004945C8" w:rsidRPr="006B61CF" w:rsidRDefault="004945C8" w:rsidP="009E45AE">
            <w:pPr>
              <w:rPr>
                <w:sz w:val="20"/>
                <w:szCs w:val="20"/>
              </w:rPr>
            </w:pPr>
          </w:p>
          <w:p w14:paraId="00685D4B" w14:textId="77777777" w:rsidR="00C465E6" w:rsidRPr="006B61CF" w:rsidRDefault="00C465E6" w:rsidP="00272362">
            <w:pPr>
              <w:tabs>
                <w:tab w:val="left" w:pos="709"/>
                <w:tab w:val="left" w:pos="992"/>
              </w:tabs>
              <w:rPr>
                <w:rFonts w:cs="Times New Roman"/>
                <w:sz w:val="20"/>
              </w:rPr>
            </w:pPr>
          </w:p>
        </w:tc>
      </w:tr>
      <w:tr w:rsidR="00C465E6" w:rsidRPr="00C465E6" w14:paraId="2E4C2D5B" w14:textId="77777777" w:rsidTr="00272362">
        <w:tc>
          <w:tcPr>
            <w:tcW w:w="9826" w:type="dxa"/>
          </w:tcPr>
          <w:p w14:paraId="52258DE3" w14:textId="77777777" w:rsidR="00C465E6" w:rsidRPr="00C5112D" w:rsidRDefault="00C465E6" w:rsidP="006B61CF">
            <w:pPr>
              <w:pStyle w:val="berschrift3"/>
            </w:pPr>
            <w:r>
              <w:lastRenderedPageBreak/>
              <w:t>C</w:t>
            </w:r>
            <w:r>
              <w:tab/>
              <w:t>Modification du contrat de société</w:t>
            </w:r>
          </w:p>
          <w:p w14:paraId="68A21D55" w14:textId="77777777" w:rsidR="00C465E6" w:rsidRPr="006B61CF" w:rsidRDefault="00C465E6" w:rsidP="00C465E6">
            <w:pPr>
              <w:pStyle w:val="Einzug1"/>
              <w:rPr>
                <w:rFonts w:cs="Times New Roman"/>
                <w:sz w:val="20"/>
              </w:rPr>
            </w:pPr>
          </w:p>
        </w:tc>
      </w:tr>
      <w:tr w:rsidR="00C465E6" w:rsidRPr="00C465E6" w14:paraId="535A9F19" w14:textId="77777777" w:rsidTr="00272362">
        <w:tc>
          <w:tcPr>
            <w:tcW w:w="9826" w:type="dxa"/>
          </w:tcPr>
          <w:p w14:paraId="05C12B8A" w14:textId="48C610ED" w:rsidR="00C465E6" w:rsidRDefault="00C465E6" w:rsidP="00C465E6">
            <w:pPr>
              <w:pStyle w:val="Einzug1"/>
            </w:pPr>
            <w:r>
              <w:t>43e.</w:t>
            </w:r>
            <w:r>
              <w:tab/>
              <w:t>Les modifications du contrat de société sont soumises à la décision de l’Assemblée des associés. Elles doivent être instrumentées officiellement et nécessitent l’approbation de la FINMA. Ne sont pas autorisées les modifications du contrat de société portant atteinte aux droits inaliénables dont bénéficie chaque Commanditaire ou entraînant une obligation de versement supplémentaire.</w:t>
            </w:r>
          </w:p>
          <w:p w14:paraId="142F6AC6" w14:textId="77777777" w:rsidR="00C465E6" w:rsidRPr="006B61CF" w:rsidRDefault="00C465E6" w:rsidP="00272362">
            <w:pPr>
              <w:pStyle w:val="Einzug1"/>
              <w:ind w:left="0" w:firstLine="0"/>
              <w:rPr>
                <w:rFonts w:cs="Times New Roman"/>
                <w:sz w:val="20"/>
              </w:rPr>
            </w:pPr>
          </w:p>
          <w:p w14:paraId="0B5B9472" w14:textId="7628BEDF" w:rsidR="00272362" w:rsidRPr="006B61CF" w:rsidRDefault="00272362" w:rsidP="00272362">
            <w:pPr>
              <w:rPr>
                <w:sz w:val="20"/>
                <w:szCs w:val="20"/>
              </w:rPr>
            </w:pPr>
          </w:p>
        </w:tc>
      </w:tr>
      <w:tr w:rsidR="00272362" w:rsidRPr="00A118A6" w14:paraId="519E4148" w14:textId="77777777" w:rsidTr="00272362">
        <w:tc>
          <w:tcPr>
            <w:tcW w:w="9826" w:type="dxa"/>
          </w:tcPr>
          <w:p w14:paraId="4C1887DC" w14:textId="1C9C7FA9" w:rsidR="00272362" w:rsidRDefault="00272362" w:rsidP="00272362">
            <w:r>
              <w:rPr>
                <w:rStyle w:val="berschrift3Zchn"/>
              </w:rPr>
              <w:t>D</w:t>
            </w:r>
            <w:r>
              <w:rPr>
                <w:rStyle w:val="berschrift3Zchn"/>
              </w:rPr>
              <w:tab/>
            </w:r>
            <w:r>
              <w:rPr>
                <w:rStyle w:val="berschrift3Zchn"/>
                <w:color w:val="FF0000"/>
              </w:rPr>
              <w:t>[</w:t>
            </w:r>
            <w:r>
              <w:rPr>
                <w:rStyle w:val="berschrift3Zchn"/>
                <w:color w:val="FF0000"/>
                <w:highlight w:val="yellow"/>
              </w:rPr>
              <w:t>Comité consultatif</w:t>
            </w:r>
            <w:r>
              <w:rPr>
                <w:rStyle w:val="berschrift3Zchn"/>
                <w:color w:val="FF0000"/>
              </w:rPr>
              <w:t>]</w:t>
            </w:r>
            <w:r w:rsidRPr="007A07F2">
              <w:rPr>
                <w:vertAlign w:val="superscript"/>
              </w:rPr>
              <w:footnoteReference w:id="25"/>
            </w:r>
          </w:p>
          <w:p w14:paraId="5BF498FE" w14:textId="77777777" w:rsidR="00272362" w:rsidRPr="006B61CF" w:rsidRDefault="00272362" w:rsidP="00C1085F">
            <w:pPr>
              <w:pStyle w:val="Einzug1"/>
              <w:rPr>
                <w:sz w:val="20"/>
                <w:szCs w:val="20"/>
              </w:rPr>
            </w:pPr>
          </w:p>
        </w:tc>
      </w:tr>
      <w:tr w:rsidR="00272362" w:rsidRPr="00A118A6" w14:paraId="35C27D86" w14:textId="77777777" w:rsidTr="00272362">
        <w:tc>
          <w:tcPr>
            <w:tcW w:w="9826" w:type="dxa"/>
          </w:tcPr>
          <w:p w14:paraId="4F3BC9B8" w14:textId="77777777" w:rsidR="00272362" w:rsidRPr="007C33AE" w:rsidRDefault="00272362" w:rsidP="00272362">
            <w:pPr>
              <w:pStyle w:val="Einzug1"/>
              <w:rPr>
                <w:rFonts w:cs="Times New Roman"/>
                <w:szCs w:val="24"/>
              </w:rPr>
            </w:pPr>
            <w:r>
              <w:t>44.</w:t>
            </w:r>
            <w:r>
              <w:tab/>
              <w:t xml:space="preserve">Les Commanditaires fondateurs, ou ultérieurement l’Assemblée des associés, peuvent désigner un Comité consultatif. Le Comité consultatif représente les intérêts des </w:t>
            </w:r>
            <w:proofErr w:type="gramStart"/>
            <w:r>
              <w:t>Commanditaires;</w:t>
            </w:r>
            <w:proofErr w:type="gramEnd"/>
            <w:r>
              <w:t xml:space="preserve"> il conseille </w:t>
            </w:r>
            <w:r>
              <w:rPr>
                <w:rStyle w:val="AuswahltextZchn"/>
              </w:rPr>
              <w:t>[</w:t>
            </w:r>
            <w:r w:rsidRPr="005A6A3F">
              <w:rPr>
                <w:rStyle w:val="AuswahltextZchn"/>
                <w:highlight w:val="yellow"/>
              </w:rPr>
              <w:t>et surveille</w:t>
            </w:r>
            <w:r>
              <w:rPr>
                <w:rStyle w:val="AuswahltextZchn"/>
              </w:rPr>
              <w:t>]</w:t>
            </w:r>
            <w:r>
              <w:t xml:space="preserve"> la gestion des affaires. Il est habilité à obtenir des renseignements de la SA indéfiniment responsable au sujet de la gestion des affaires et à consulter les comptes de la Société. Le Comité consultatif peut exercer certaines des compétences dévolues à l’Assemblée des associés, en particulier les compétences listées aux chiffres 39, let. </w:t>
            </w:r>
            <w:proofErr w:type="gramStart"/>
            <w:r>
              <w:t>a</w:t>
            </w:r>
            <w:proofErr w:type="gramEnd"/>
            <w:r>
              <w:t xml:space="preserve"> à 39, let. c.</w:t>
            </w:r>
          </w:p>
          <w:p w14:paraId="2A7A6D5E" w14:textId="77777777" w:rsidR="00272362" w:rsidRPr="006B61CF" w:rsidRDefault="00272362" w:rsidP="00C1085F">
            <w:pPr>
              <w:pStyle w:val="Einzug1"/>
              <w:rPr>
                <w:sz w:val="20"/>
                <w:szCs w:val="20"/>
              </w:rPr>
            </w:pPr>
          </w:p>
        </w:tc>
      </w:tr>
      <w:tr w:rsidR="00272362" w:rsidRPr="00A118A6" w14:paraId="3C91273F" w14:textId="77777777" w:rsidTr="00272362">
        <w:tc>
          <w:tcPr>
            <w:tcW w:w="9826" w:type="dxa"/>
          </w:tcPr>
          <w:p w14:paraId="581C211B" w14:textId="77777777" w:rsidR="00272362" w:rsidRPr="007C33AE" w:rsidRDefault="00272362" w:rsidP="00272362">
            <w:pPr>
              <w:pStyle w:val="Einzug1"/>
              <w:rPr>
                <w:rFonts w:cs="Times New Roman"/>
                <w:szCs w:val="24"/>
              </w:rPr>
            </w:pPr>
            <w:r>
              <w:t>45.</w:t>
            </w:r>
            <w:r>
              <w:tab/>
              <w:t xml:space="preserve">Il dispose en particulier des compétences </w:t>
            </w:r>
            <w:proofErr w:type="gramStart"/>
            <w:r>
              <w:t>suivantes:</w:t>
            </w:r>
            <w:proofErr w:type="gramEnd"/>
          </w:p>
          <w:p w14:paraId="4A2EF262" w14:textId="77777777" w:rsidR="00272362" w:rsidRPr="007C33AE" w:rsidRDefault="00272362" w:rsidP="00272362">
            <w:pPr>
              <w:tabs>
                <w:tab w:val="left" w:pos="709"/>
                <w:tab w:val="left" w:pos="992"/>
              </w:tabs>
              <w:ind w:left="993" w:hanging="284"/>
              <w:rPr>
                <w:rFonts w:cs="Times New Roman"/>
                <w:szCs w:val="24"/>
              </w:rPr>
            </w:pPr>
            <w:r>
              <w:sym w:font="Wingdings" w:char="F09F"/>
            </w:r>
            <w:r>
              <w:tab/>
            </w:r>
            <w:r>
              <w:rPr>
                <w:rStyle w:val="AuswahltextZchn"/>
              </w:rPr>
              <w:t>[</w:t>
            </w:r>
            <w:proofErr w:type="gramStart"/>
            <w:r>
              <w:rPr>
                <w:rStyle w:val="AuswahltextZchn"/>
                <w:highlight w:val="yellow"/>
              </w:rPr>
              <w:t>exercice</w:t>
            </w:r>
            <w:proofErr w:type="gramEnd"/>
            <w:r>
              <w:rPr>
                <w:rStyle w:val="AuswahltextZchn"/>
                <w:highlight w:val="yellow"/>
              </w:rPr>
              <w:t xml:space="preserve"> des pouvoirs qui lui ont été délégués par l’Assemblée des associés;</w:t>
            </w:r>
            <w:r>
              <w:rPr>
                <w:rStyle w:val="AuswahltextZchn"/>
              </w:rPr>
              <w:t>]</w:t>
            </w:r>
          </w:p>
          <w:p w14:paraId="293C7399" w14:textId="77777777" w:rsidR="006B61CF" w:rsidRDefault="00272362" w:rsidP="006B61CF">
            <w:pPr>
              <w:numPr>
                <w:ilvl w:val="0"/>
                <w:numId w:val="6"/>
              </w:numPr>
              <w:tabs>
                <w:tab w:val="left" w:pos="709"/>
                <w:tab w:val="left" w:pos="992"/>
              </w:tabs>
              <w:rPr>
                <w:rFonts w:cs="Times New Roman"/>
                <w:szCs w:val="24"/>
              </w:rPr>
            </w:pPr>
            <w:r>
              <w:rPr>
                <w:rStyle w:val="AuswahltextZchn"/>
              </w:rPr>
              <w:t>[</w:t>
            </w:r>
            <w:proofErr w:type="gramStart"/>
            <w:r>
              <w:rPr>
                <w:rStyle w:val="AuswahltextZchn"/>
                <w:highlight w:val="yellow"/>
              </w:rPr>
              <w:t>prise</w:t>
            </w:r>
            <w:proofErr w:type="gramEnd"/>
            <w:r>
              <w:rPr>
                <w:rStyle w:val="AuswahltextZchn"/>
                <w:highlight w:val="yellow"/>
              </w:rPr>
              <w:t xml:space="preserve"> de décision dans des situations de conflits d’intérêts entre la SA indéfiniment responsable et la Société et/ou les Commanditaires;</w:t>
            </w:r>
            <w:r>
              <w:rPr>
                <w:rStyle w:val="AuswahltextZchn"/>
              </w:rPr>
              <w:t>]</w:t>
            </w:r>
          </w:p>
          <w:p w14:paraId="7F95EC3F" w14:textId="72A118AC" w:rsidR="00272362" w:rsidRPr="006B61CF" w:rsidRDefault="00272362" w:rsidP="006B61CF">
            <w:pPr>
              <w:numPr>
                <w:ilvl w:val="0"/>
                <w:numId w:val="6"/>
              </w:numPr>
              <w:tabs>
                <w:tab w:val="left" w:pos="709"/>
                <w:tab w:val="left" w:pos="992"/>
              </w:tabs>
              <w:rPr>
                <w:rStyle w:val="AuswahltextZchn"/>
                <w:rFonts w:cs="Times New Roman"/>
                <w:color w:val="auto"/>
                <w:szCs w:val="24"/>
              </w:rPr>
            </w:pPr>
            <w:r>
              <w:rPr>
                <w:rStyle w:val="AuswahltextZchn"/>
              </w:rPr>
              <w:t>[</w:t>
            </w:r>
            <w:r w:rsidRPr="006B61CF">
              <w:rPr>
                <w:rStyle w:val="AuswahltextZchn"/>
                <w:highlight w:val="yellow"/>
              </w:rPr>
              <w:t>…</w:t>
            </w:r>
            <w:r>
              <w:rPr>
                <w:rStyle w:val="AuswahltextZchn"/>
              </w:rPr>
              <w:t>]</w:t>
            </w:r>
          </w:p>
          <w:p w14:paraId="773B64A6" w14:textId="77777777" w:rsidR="00272362" w:rsidRPr="006B61CF" w:rsidRDefault="00272362" w:rsidP="00C1085F">
            <w:pPr>
              <w:pStyle w:val="Einzug1"/>
              <w:rPr>
                <w:sz w:val="20"/>
                <w:szCs w:val="20"/>
              </w:rPr>
            </w:pPr>
          </w:p>
        </w:tc>
      </w:tr>
      <w:tr w:rsidR="00272362" w:rsidRPr="00A118A6" w14:paraId="22016FB6" w14:textId="77777777" w:rsidTr="00272362">
        <w:tc>
          <w:tcPr>
            <w:tcW w:w="9826" w:type="dxa"/>
          </w:tcPr>
          <w:p w14:paraId="4493CE8B" w14:textId="77777777" w:rsidR="00272362" w:rsidRPr="00953A91" w:rsidRDefault="00272362" w:rsidP="00272362">
            <w:pPr>
              <w:pStyle w:val="Einzug1"/>
            </w:pPr>
            <w:r>
              <w:t>46.</w:t>
            </w:r>
            <w:r>
              <w:tab/>
              <w:t xml:space="preserve">Le Comité consultatif est composé de </w:t>
            </w:r>
            <w:r w:rsidRPr="00D13CE7">
              <w:rPr>
                <w:rStyle w:val="AuswahltextZchn"/>
              </w:rPr>
              <w:t>[</w:t>
            </w:r>
            <w:r w:rsidRPr="00D13CE7">
              <w:rPr>
                <w:rStyle w:val="AuswahltextZchn"/>
                <w:highlight w:val="yellow"/>
              </w:rPr>
              <w:t>trois</w:t>
            </w:r>
            <w:r w:rsidRPr="00D13CE7">
              <w:rPr>
                <w:rStyle w:val="AuswahltextZchn"/>
              </w:rPr>
              <w:t>]</w:t>
            </w:r>
            <w:r>
              <w:t xml:space="preserve"> personnes </w:t>
            </w:r>
            <w:r w:rsidRPr="00D13CE7">
              <w:rPr>
                <w:rStyle w:val="AuswahltextZchn"/>
              </w:rPr>
              <w:t>[</w:t>
            </w:r>
            <w:r w:rsidRPr="00D13CE7">
              <w:rPr>
                <w:rStyle w:val="AuswahltextZchn"/>
                <w:highlight w:val="yellow"/>
              </w:rPr>
              <w:t>au moins</w:t>
            </w:r>
            <w:r w:rsidRPr="00D13CE7">
              <w:rPr>
                <w:rStyle w:val="AuswahltextZchn"/>
              </w:rPr>
              <w:t>]</w:t>
            </w:r>
            <w:r>
              <w:t>. Ses membres sont désignés lors de la fondation ou, ultérieurement, par l’Assemblée des associés. Les membres du Comité consultatif peuvent être révoqués en tout temps par l’Assemblée des associés.</w:t>
            </w:r>
          </w:p>
          <w:p w14:paraId="1A0DE471" w14:textId="77777777" w:rsidR="00272362" w:rsidRPr="006B61CF" w:rsidRDefault="00272362" w:rsidP="00C1085F">
            <w:pPr>
              <w:pStyle w:val="Einzug1"/>
              <w:rPr>
                <w:sz w:val="20"/>
                <w:szCs w:val="20"/>
              </w:rPr>
            </w:pPr>
          </w:p>
        </w:tc>
      </w:tr>
      <w:tr w:rsidR="00272362" w:rsidRPr="00A118A6" w14:paraId="49D5C66F" w14:textId="77777777" w:rsidTr="00272362">
        <w:tc>
          <w:tcPr>
            <w:tcW w:w="9826" w:type="dxa"/>
          </w:tcPr>
          <w:p w14:paraId="287A38FB" w14:textId="77777777" w:rsidR="00272362" w:rsidRDefault="00272362" w:rsidP="00272362">
            <w:pPr>
              <w:pStyle w:val="Einzug1"/>
            </w:pPr>
            <w:r>
              <w:t>47.</w:t>
            </w:r>
            <w:r>
              <w:tab/>
              <w:t>La SA indéfiniment responsable délègue au moins un représentant aux séances du Comité consultatif. Ce représentant ne dispose toutefois que d’une voix consultative, mais pas du droit de vote. Les membres du Comité consultatif ne doivent pas être des Commanditaires.</w:t>
            </w:r>
          </w:p>
          <w:p w14:paraId="7803EE31" w14:textId="77777777" w:rsidR="00272362" w:rsidRPr="006B61CF" w:rsidRDefault="00272362" w:rsidP="00C465E6">
            <w:pPr>
              <w:pStyle w:val="Einzug1"/>
              <w:rPr>
                <w:sz w:val="20"/>
                <w:szCs w:val="20"/>
              </w:rPr>
            </w:pPr>
          </w:p>
        </w:tc>
      </w:tr>
      <w:tr w:rsidR="00C465E6" w:rsidRPr="00A118A6" w14:paraId="26603D54" w14:textId="77777777" w:rsidTr="00272362">
        <w:tc>
          <w:tcPr>
            <w:tcW w:w="9826" w:type="dxa"/>
          </w:tcPr>
          <w:p w14:paraId="56965913" w14:textId="77777777" w:rsidR="00C465E6" w:rsidRPr="007C33AE" w:rsidRDefault="00C465E6" w:rsidP="00C465E6">
            <w:pPr>
              <w:pStyle w:val="Einzug1"/>
              <w:rPr>
                <w:rFonts w:cs="Times New Roman"/>
                <w:szCs w:val="24"/>
              </w:rPr>
            </w:pPr>
            <w:r>
              <w:t>48.</w:t>
            </w:r>
            <w:r>
              <w:tab/>
              <w:t xml:space="preserve">Le Comité consultatif est habilité à prendre une décision si plus de la moitié de ses membres sont présents. Les décisions du Comité consultatif requièrent l’approbation de la majorité des membres présents. </w:t>
            </w:r>
            <w:r>
              <w:rPr>
                <w:rStyle w:val="AuswahltextZchn"/>
              </w:rPr>
              <w:t>[</w:t>
            </w:r>
            <w:r>
              <w:rPr>
                <w:rStyle w:val="AuswahltextZchn"/>
                <w:highlight w:val="yellow"/>
              </w:rPr>
              <w:t>En cas d’égalité des voix, le président tranche/une nouvelle séance est convoquée/l’affaire est renvoyée devant l’assemblée générale.</w:t>
            </w:r>
            <w:r>
              <w:rPr>
                <w:rStyle w:val="AuswahltextZchn"/>
              </w:rPr>
              <w:t>]</w:t>
            </w:r>
          </w:p>
          <w:p w14:paraId="60E40352" w14:textId="77777777" w:rsidR="00C465E6" w:rsidRPr="006B61CF" w:rsidRDefault="00C465E6" w:rsidP="00C465E6">
            <w:pPr>
              <w:pStyle w:val="Einzug1"/>
              <w:rPr>
                <w:rFonts w:cs="Times New Roman"/>
                <w:sz w:val="20"/>
                <w:lang w:val="fr-FR"/>
              </w:rPr>
            </w:pPr>
          </w:p>
        </w:tc>
      </w:tr>
      <w:tr w:rsidR="00C465E6" w:rsidRPr="00A118A6" w14:paraId="194A700C" w14:textId="77777777" w:rsidTr="00272362">
        <w:tc>
          <w:tcPr>
            <w:tcW w:w="9826" w:type="dxa"/>
          </w:tcPr>
          <w:p w14:paraId="551D7F81" w14:textId="77777777" w:rsidR="00C465E6" w:rsidRPr="007C33AE" w:rsidRDefault="00C465E6" w:rsidP="006B61CF">
            <w:pPr>
              <w:pStyle w:val="Einzug1"/>
              <w:rPr>
                <w:rFonts w:cs="Times New Roman"/>
                <w:szCs w:val="24"/>
              </w:rPr>
            </w:pPr>
            <w:r>
              <w:t>49.</w:t>
            </w:r>
            <w:r>
              <w:tab/>
              <w:t>Les membres du Comité consultatif s’engagent à sauvegarder le secret des affaires, également après l’expiration de leur mandat. Ils doivent dévoiler tous les conflits d’intérêts existants et potentiels. Le cas échéant, ils s’abstiennent et ne participent pas aux délibérations.</w:t>
            </w:r>
          </w:p>
          <w:p w14:paraId="67B15659" w14:textId="77777777" w:rsidR="00C465E6" w:rsidRPr="006B61CF" w:rsidRDefault="00C465E6" w:rsidP="00C465E6">
            <w:pPr>
              <w:pStyle w:val="Einzug1"/>
              <w:rPr>
                <w:rFonts w:cs="Times New Roman"/>
                <w:sz w:val="20"/>
                <w:lang w:val="fr-FR"/>
              </w:rPr>
            </w:pPr>
          </w:p>
        </w:tc>
      </w:tr>
      <w:tr w:rsidR="00C465E6" w:rsidRPr="00A118A6" w14:paraId="1013AC46" w14:textId="77777777" w:rsidTr="00C465E6">
        <w:tc>
          <w:tcPr>
            <w:tcW w:w="9826" w:type="dxa"/>
          </w:tcPr>
          <w:p w14:paraId="59A0FCEB" w14:textId="2D7B701B" w:rsidR="00C465E6" w:rsidRPr="006B61CF" w:rsidRDefault="00C465E6" w:rsidP="006B61CF">
            <w:pPr>
              <w:pStyle w:val="Einzug1"/>
              <w:rPr>
                <w:rFonts w:cs="Times New Roman"/>
                <w:szCs w:val="24"/>
              </w:rPr>
            </w:pPr>
            <w:r>
              <w:t>50.</w:t>
            </w:r>
            <w:r>
              <w:tab/>
              <w:t xml:space="preserve">La Société indemnise les membres du Comité consultatif de manière adéquate pour les frais liés à l’exécution de leur mandat </w:t>
            </w:r>
            <w:r>
              <w:rPr>
                <w:color w:val="FF0000"/>
              </w:rPr>
              <w:t>[</w:t>
            </w:r>
            <w:r>
              <w:rPr>
                <w:color w:val="FF0000"/>
                <w:highlight w:val="yellow"/>
              </w:rPr>
              <w:t>; il n'est pas versé de rémunération additionnelle</w:t>
            </w:r>
            <w:r>
              <w:rPr>
                <w:color w:val="FF0000"/>
              </w:rPr>
              <w:t>]</w:t>
            </w:r>
            <w:r>
              <w:t>.</w:t>
            </w:r>
          </w:p>
        </w:tc>
      </w:tr>
      <w:tr w:rsidR="00C465E6" w:rsidRPr="003A5A1F" w14:paraId="2BCE766A" w14:textId="77777777" w:rsidTr="00C465E6">
        <w:tc>
          <w:tcPr>
            <w:tcW w:w="9826" w:type="dxa"/>
          </w:tcPr>
          <w:p w14:paraId="5DC4B84B" w14:textId="71C6F790" w:rsidR="00C465E6" w:rsidRPr="00545AEB" w:rsidRDefault="00C465E6" w:rsidP="006B61CF">
            <w:pPr>
              <w:pStyle w:val="berschrift2"/>
              <w:pageBreakBefore/>
            </w:pPr>
            <w:bookmarkStart w:id="26" w:name="_Toc94114405"/>
            <w:r>
              <w:lastRenderedPageBreak/>
              <w:t>VI</w:t>
            </w:r>
            <w:r>
              <w:tab/>
              <w:t>La SA indéfiniment responsable</w:t>
            </w:r>
            <w:bookmarkEnd w:id="26"/>
          </w:p>
          <w:p w14:paraId="5EDEFE4B" w14:textId="77777777" w:rsidR="00C465E6" w:rsidRPr="007C33AE" w:rsidRDefault="00C465E6" w:rsidP="00C465E6">
            <w:pPr>
              <w:rPr>
                <w:lang w:val="fr-FR"/>
              </w:rPr>
            </w:pPr>
          </w:p>
        </w:tc>
      </w:tr>
      <w:tr w:rsidR="00C465E6" w:rsidRPr="00A118A6" w14:paraId="05D22192" w14:textId="77777777" w:rsidTr="00C465E6">
        <w:tc>
          <w:tcPr>
            <w:tcW w:w="9826" w:type="dxa"/>
          </w:tcPr>
          <w:p w14:paraId="2AA17AF4" w14:textId="469940CA" w:rsidR="00C465E6" w:rsidRPr="007C33AE" w:rsidRDefault="00C465E6" w:rsidP="00C465E6">
            <w:pPr>
              <w:pStyle w:val="berschrift3"/>
            </w:pPr>
            <w:bookmarkStart w:id="27" w:name="_Toc94114406"/>
            <w:r>
              <w:t>A</w:t>
            </w:r>
            <w:r>
              <w:tab/>
              <w:t>Gestion des affaires et représentation</w:t>
            </w:r>
            <w:bookmarkEnd w:id="27"/>
          </w:p>
          <w:p w14:paraId="0FF6B032" w14:textId="77777777" w:rsidR="00C465E6" w:rsidRPr="007C33AE" w:rsidRDefault="00C465E6" w:rsidP="00C465E6">
            <w:pPr>
              <w:rPr>
                <w:lang w:val="fr-FR"/>
              </w:rPr>
            </w:pPr>
          </w:p>
        </w:tc>
      </w:tr>
      <w:tr w:rsidR="00C465E6" w:rsidRPr="00A53BDB" w14:paraId="046FB39B" w14:textId="77777777" w:rsidTr="00C465E6">
        <w:tc>
          <w:tcPr>
            <w:tcW w:w="9826" w:type="dxa"/>
          </w:tcPr>
          <w:p w14:paraId="5EDAEC7C" w14:textId="77777777" w:rsidR="00C465E6" w:rsidRDefault="00C465E6" w:rsidP="00C465E6">
            <w:pPr>
              <w:pStyle w:val="Einzug1"/>
            </w:pPr>
            <w:r>
              <w:t>51.</w:t>
            </w:r>
            <w:r>
              <w:tab/>
              <w:t>La gestion des affaires, au sens de la LPCC et du Code des obligations, est déléguée à la SA indéfiniment responsable. La SA indéfiniment responsable dispose d’une compétence exclusive pour la gestion des affaires, mais peut déléguer certaines tâches à des tiers conformément au chiffre 65. La SA indéfiniment responsable engage la Société par sa signature, conformément à son régime de signatures.</w:t>
            </w:r>
            <w:r w:rsidR="00A53BDB">
              <w:rPr>
                <w:rStyle w:val="Funotenzeichen"/>
              </w:rPr>
              <w:footnoteReference w:id="26"/>
            </w:r>
          </w:p>
          <w:p w14:paraId="69BCA0BF" w14:textId="1135FA95" w:rsidR="00A53BDB" w:rsidRPr="009E45AE" w:rsidRDefault="00A53BDB" w:rsidP="00A53BDB"/>
        </w:tc>
      </w:tr>
      <w:tr w:rsidR="00C465E6" w:rsidRPr="00A118A6" w14:paraId="27CCD11C" w14:textId="77777777" w:rsidTr="00C465E6">
        <w:tc>
          <w:tcPr>
            <w:tcW w:w="9826" w:type="dxa"/>
          </w:tcPr>
          <w:p w14:paraId="4C49EA38" w14:textId="77777777" w:rsidR="00C465E6" w:rsidRPr="007C33AE" w:rsidRDefault="00C465E6" w:rsidP="00C465E6">
            <w:pPr>
              <w:pStyle w:val="Einzug1"/>
              <w:rPr>
                <w:rFonts w:cs="Times New Roman"/>
                <w:szCs w:val="24"/>
              </w:rPr>
            </w:pPr>
            <w:r>
              <w:t>52.</w:t>
            </w:r>
            <w:r>
              <w:tab/>
              <w:t xml:space="preserve">La SA indéfiniment responsable s’occupe de la gestion opérationnelle de la Société, dans le cadre des limites fixées par le présent contrat. Elle évalue des entreprises constituant des objets d’investissement potentiels, structure et décide des investissements de la Société dans celles-ci. Elle surveille en permanence les objets d’investissement, notamment s’agissant du respect des </w:t>
            </w:r>
            <w:r>
              <w:rPr>
                <w:i/>
              </w:rPr>
              <w:t>mile stones</w:t>
            </w:r>
            <w:r>
              <w:t>. Elle dispose d’un pouvoir d’appréciation pour influencer le management et est notamment habilitée à siéger dans le conseil d’administration des sociétés dans lesquelles la Société a investi.</w:t>
            </w:r>
          </w:p>
          <w:p w14:paraId="4AAB46ED" w14:textId="77777777" w:rsidR="00C465E6" w:rsidRPr="007C33AE" w:rsidRDefault="00C465E6" w:rsidP="00C465E6">
            <w:pPr>
              <w:pStyle w:val="Einzug1"/>
              <w:rPr>
                <w:rFonts w:cs="Times New Roman"/>
                <w:szCs w:val="24"/>
                <w:lang w:val="fr-FR"/>
              </w:rPr>
            </w:pPr>
          </w:p>
        </w:tc>
      </w:tr>
      <w:tr w:rsidR="00C465E6" w:rsidRPr="00A118A6" w14:paraId="56E2556D" w14:textId="77777777" w:rsidTr="00C465E6">
        <w:tc>
          <w:tcPr>
            <w:tcW w:w="9826" w:type="dxa"/>
          </w:tcPr>
          <w:p w14:paraId="777EDEEF" w14:textId="00CDF57F" w:rsidR="00C465E6" w:rsidRPr="007C33AE" w:rsidRDefault="00C465E6" w:rsidP="00C465E6">
            <w:pPr>
              <w:pStyle w:val="Einzug1"/>
              <w:rPr>
                <w:rFonts w:cs="Times New Roman"/>
                <w:szCs w:val="24"/>
              </w:rPr>
            </w:pPr>
            <w:r>
              <w:t>53.</w:t>
            </w:r>
            <w:r>
              <w:tab/>
              <w:t>La SA indéfiniment responsable décide de l’appel aux Fonds Propres Supplémentaires et de leur remboursement. Sous réserve des exceptions prévues dans le présent contrat</w:t>
            </w:r>
            <w:r w:rsidR="006C3A4D">
              <w:rPr>
                <w:rStyle w:val="Funotenzeichen"/>
                <w:szCs w:val="24"/>
                <w:lang w:val="fr-FR"/>
              </w:rPr>
              <w:footnoteReference w:id="27"/>
            </w:r>
            <w:r>
              <w:t>, l’appel aux Fonds Propres Supplémentaires n’est admissible que durant la Phase d’Investissement.</w:t>
            </w:r>
          </w:p>
          <w:p w14:paraId="593B66C4" w14:textId="77777777" w:rsidR="00C465E6" w:rsidRPr="007C33AE" w:rsidRDefault="00C465E6" w:rsidP="00C465E6">
            <w:pPr>
              <w:pStyle w:val="Einzug1"/>
              <w:rPr>
                <w:rFonts w:cs="Times New Roman"/>
                <w:szCs w:val="24"/>
                <w:lang w:val="fr-FR"/>
              </w:rPr>
            </w:pPr>
          </w:p>
        </w:tc>
      </w:tr>
      <w:tr w:rsidR="00C465E6" w:rsidRPr="00A118A6" w14:paraId="5B665DBF" w14:textId="77777777" w:rsidTr="00C465E6">
        <w:tc>
          <w:tcPr>
            <w:tcW w:w="9826" w:type="dxa"/>
          </w:tcPr>
          <w:p w14:paraId="43F429D6" w14:textId="77777777" w:rsidR="00C465E6" w:rsidRPr="007C33AE" w:rsidRDefault="00C465E6" w:rsidP="00C465E6">
            <w:pPr>
              <w:pStyle w:val="Einzug1"/>
              <w:rPr>
                <w:rFonts w:cs="Times New Roman"/>
                <w:szCs w:val="24"/>
              </w:rPr>
            </w:pPr>
            <w:r>
              <w:t>54.</w:t>
            </w:r>
            <w:r>
              <w:tab/>
              <w:t xml:space="preserve">La SA indéfiniment responsable ne peut en principe investir qu’une seule fois le capital de la Société. Les liquidités non nécessaires et le produit de la vente de participations sont remboursés graduellement aux Commanditaires. Demeurent réservées </w:t>
            </w:r>
            <w:proofErr w:type="gramStart"/>
            <w:r>
              <w:t>la conservation appropriées</w:t>
            </w:r>
            <w:proofErr w:type="gramEnd"/>
            <w:r>
              <w:t xml:space="preserve"> de liquidités par la Société et les exceptions prévues dans ce contrat.</w:t>
            </w:r>
          </w:p>
          <w:p w14:paraId="08F5DE86" w14:textId="77777777" w:rsidR="00C465E6" w:rsidRPr="007C33AE" w:rsidRDefault="00C465E6" w:rsidP="00C465E6">
            <w:pPr>
              <w:rPr>
                <w:rFonts w:cs="Times New Roman"/>
                <w:szCs w:val="24"/>
                <w:lang w:val="fr-FR"/>
              </w:rPr>
            </w:pPr>
          </w:p>
        </w:tc>
      </w:tr>
      <w:tr w:rsidR="00C465E6" w:rsidRPr="00A118A6" w14:paraId="7DEC05F9" w14:textId="77777777" w:rsidTr="00C465E6">
        <w:tc>
          <w:tcPr>
            <w:tcW w:w="9826" w:type="dxa"/>
          </w:tcPr>
          <w:p w14:paraId="01274288" w14:textId="77777777" w:rsidR="00C465E6" w:rsidRPr="007C33AE" w:rsidRDefault="00C465E6" w:rsidP="00C465E6">
            <w:pPr>
              <w:pStyle w:val="Einzug1"/>
              <w:rPr>
                <w:rFonts w:cs="Times New Roman"/>
                <w:szCs w:val="24"/>
              </w:rPr>
            </w:pPr>
            <w:r>
              <w:t>55.</w:t>
            </w:r>
            <w:r>
              <w:tab/>
              <w:t>La SA indéfiniment responsable est liée par un devoir de confidentialité et s’engage à ce que ses organes, son personnel et ses conseillers se conforment également à ce devoir de confidentialité.</w:t>
            </w:r>
          </w:p>
          <w:p w14:paraId="5A2FFC39" w14:textId="77777777" w:rsidR="00C465E6" w:rsidRPr="007C33AE" w:rsidRDefault="00C465E6" w:rsidP="00C465E6">
            <w:pPr>
              <w:rPr>
                <w:rFonts w:cs="Times New Roman"/>
                <w:szCs w:val="24"/>
                <w:lang w:val="fr-FR"/>
              </w:rPr>
            </w:pPr>
          </w:p>
        </w:tc>
      </w:tr>
      <w:tr w:rsidR="00C465E6" w:rsidRPr="00A118A6" w14:paraId="0A741179" w14:textId="77777777" w:rsidTr="00C465E6">
        <w:tc>
          <w:tcPr>
            <w:tcW w:w="9826" w:type="dxa"/>
          </w:tcPr>
          <w:p w14:paraId="62AE2302" w14:textId="77777777" w:rsidR="00C465E6" w:rsidRPr="007C33AE" w:rsidRDefault="00C465E6" w:rsidP="00C465E6">
            <w:pPr>
              <w:pStyle w:val="Einzug1"/>
              <w:rPr>
                <w:rFonts w:cs="Times New Roman"/>
                <w:szCs w:val="24"/>
              </w:rPr>
            </w:pPr>
            <w:r>
              <w:t>56.</w:t>
            </w:r>
            <w:r>
              <w:tab/>
              <w:t>La SA indéfiniment responsable est responsable de la tenue des comptes de la Société et de la reddition de comptes aux Commanditaires. Elle assure la tenue et l’actualisation du registre des Commanditaires et des comptes de capital des Commanditaires. Elle désigne le service de dépôt et le service de paiement. Elle décide, conformément aux chiffres 33 et suivants, selon sa libre appréciation, d’un éventuel transfert de parts (y compris des engagements de fournir des Fonds Propres Supplémentaires) à des tiers.</w:t>
            </w:r>
          </w:p>
          <w:p w14:paraId="4D81DFD0" w14:textId="77777777" w:rsidR="00C465E6" w:rsidRPr="007C33AE" w:rsidRDefault="00C465E6" w:rsidP="00C465E6">
            <w:pPr>
              <w:rPr>
                <w:rFonts w:cs="Times New Roman"/>
                <w:szCs w:val="24"/>
                <w:lang w:val="fr-FR"/>
              </w:rPr>
            </w:pPr>
          </w:p>
        </w:tc>
      </w:tr>
      <w:tr w:rsidR="00C465E6" w:rsidRPr="00A118A6" w14:paraId="00F8C627" w14:textId="77777777" w:rsidTr="00C465E6">
        <w:tc>
          <w:tcPr>
            <w:tcW w:w="9826" w:type="dxa"/>
          </w:tcPr>
          <w:p w14:paraId="21CEF972" w14:textId="322C1B70" w:rsidR="00C465E6" w:rsidRDefault="00C465E6" w:rsidP="00C465E6">
            <w:pPr>
              <w:pStyle w:val="Einzug1"/>
              <w:rPr>
                <w:rFonts w:cs="Times New Roman"/>
                <w:szCs w:val="24"/>
              </w:rPr>
            </w:pPr>
            <w:r>
              <w:t>57.</w:t>
            </w:r>
            <w:r>
              <w:tab/>
              <w:t>La SA indéfiniment responsable ne peut agir en tant qu’associé indéfiniment responsable que dans cette Société</w:t>
            </w:r>
            <w:r w:rsidR="00994705">
              <w:rPr>
                <w:rStyle w:val="Funotenzeichen"/>
              </w:rPr>
              <w:footnoteReference w:id="28"/>
            </w:r>
            <w:r>
              <w:t xml:space="preserve">. La Société est habilitée à effectuer d’autres affaires pour son propre compte ou pour celui de tiers, à participer à d’autres entreprises, pour autant qu’il en soit fait état et que cela ne porte pas atteinte aux intérêts de la Société, ou si l’Assemblée des associés </w:t>
            </w:r>
            <w:r>
              <w:rPr>
                <w:rStyle w:val="AuswahltextZchn1"/>
              </w:rPr>
              <w:t>[</w:t>
            </w:r>
            <w:r>
              <w:rPr>
                <w:rStyle w:val="AuswahltextZchn1"/>
                <w:highlight w:val="yellow"/>
              </w:rPr>
              <w:t>ou le Comité consultatif</w:t>
            </w:r>
            <w:r>
              <w:rPr>
                <w:rStyle w:val="AuswahltextZchn1"/>
              </w:rPr>
              <w:t>]</w:t>
            </w:r>
            <w:r>
              <w:t xml:space="preserve"> approuve explicitement les affaires en question (chiffre 39, let. c).</w:t>
            </w:r>
          </w:p>
          <w:p w14:paraId="1C443D85" w14:textId="77777777" w:rsidR="00C465E6" w:rsidRPr="00545AEB" w:rsidRDefault="00C465E6" w:rsidP="00C465E6">
            <w:pPr>
              <w:rPr>
                <w:lang w:val="fr-FR"/>
              </w:rPr>
            </w:pPr>
          </w:p>
        </w:tc>
      </w:tr>
      <w:tr w:rsidR="00C465E6" w:rsidRPr="00A118A6" w14:paraId="164D6876" w14:textId="77777777" w:rsidTr="00C465E6">
        <w:tc>
          <w:tcPr>
            <w:tcW w:w="9826" w:type="dxa"/>
          </w:tcPr>
          <w:p w14:paraId="62D6676F" w14:textId="77777777" w:rsidR="00C465E6" w:rsidRPr="007C33AE" w:rsidRDefault="00C465E6" w:rsidP="00C465E6">
            <w:pPr>
              <w:pStyle w:val="Einzug1"/>
              <w:rPr>
                <w:rFonts w:cs="Times New Roman"/>
                <w:szCs w:val="24"/>
              </w:rPr>
            </w:pPr>
            <w:r>
              <w:t>58.</w:t>
            </w:r>
            <w:r>
              <w:tab/>
              <w:t xml:space="preserve">La SA indéfiniment responsable </w:t>
            </w:r>
            <w:r>
              <w:rPr>
                <w:rStyle w:val="AuswahltextZchn"/>
              </w:rPr>
              <w:t>[</w:t>
            </w:r>
            <w:r>
              <w:rPr>
                <w:rStyle w:val="AuswahltextZchn"/>
                <w:highlight w:val="yellow"/>
              </w:rPr>
              <w:t>et les personnes qui lui sont liées</w:t>
            </w:r>
            <w:r>
              <w:rPr>
                <w:rStyle w:val="AuswahltextZchn"/>
              </w:rPr>
              <w:t>]</w:t>
            </w:r>
            <w:r>
              <w:t xml:space="preserve"> ne peuvent effectuer des affaires ou poursuivre d’autres intérêts qui se trouvent en conflit avec ceux de la Société ou peuvent aboutir à un tel conflit, sous réserve d’une autorisation émanant de l’Assemblée des </w:t>
            </w:r>
            <w:r>
              <w:lastRenderedPageBreak/>
              <w:t xml:space="preserve">associés </w:t>
            </w:r>
            <w:r>
              <w:rPr>
                <w:rStyle w:val="AuswahltextZchn"/>
              </w:rPr>
              <w:t>[</w:t>
            </w:r>
            <w:r>
              <w:rPr>
                <w:rStyle w:val="AuswahltextZchn"/>
                <w:highlight w:val="yellow"/>
              </w:rPr>
              <w:t>le cas échéant du Comité consultatif</w:t>
            </w:r>
            <w:r>
              <w:rPr>
                <w:rStyle w:val="AuswahltextZchn"/>
              </w:rPr>
              <w:t>]</w:t>
            </w:r>
            <w:r>
              <w:t>. D’éventuels avantages perçus en raison de leur position dans la Société (honoraires de gestion, rétrocessions et prestations similaires) doivent être reversés à la Société.</w:t>
            </w:r>
          </w:p>
          <w:p w14:paraId="564B000A" w14:textId="77777777" w:rsidR="00C465E6" w:rsidRPr="007C33AE" w:rsidRDefault="00C465E6" w:rsidP="00C465E6">
            <w:pPr>
              <w:pStyle w:val="Einzug1"/>
              <w:rPr>
                <w:rFonts w:cs="Times New Roman"/>
                <w:szCs w:val="24"/>
                <w:lang w:val="fr-FR"/>
              </w:rPr>
            </w:pPr>
          </w:p>
        </w:tc>
      </w:tr>
      <w:tr w:rsidR="00C465E6" w:rsidRPr="00A118A6" w14:paraId="31F02B85" w14:textId="77777777" w:rsidTr="00C465E6">
        <w:tc>
          <w:tcPr>
            <w:tcW w:w="9826" w:type="dxa"/>
          </w:tcPr>
          <w:p w14:paraId="32AD2EC4" w14:textId="77777777" w:rsidR="00C465E6" w:rsidRPr="007C33AE" w:rsidRDefault="00C465E6" w:rsidP="00C465E6">
            <w:pPr>
              <w:pStyle w:val="Einzug1"/>
              <w:numPr>
                <w:ilvl w:val="0"/>
                <w:numId w:val="7"/>
              </w:numPr>
              <w:ind w:left="709" w:hanging="709"/>
              <w:rPr>
                <w:rFonts w:cs="Times New Roman"/>
                <w:szCs w:val="24"/>
              </w:rPr>
            </w:pPr>
            <w:r>
              <w:lastRenderedPageBreak/>
              <w:t xml:space="preserve">La SA indéfiniment responsable annonce à l’Assemblée des associés </w:t>
            </w:r>
            <w:r>
              <w:rPr>
                <w:rStyle w:val="AuswahltextZchn"/>
              </w:rPr>
              <w:t>[</w:t>
            </w:r>
            <w:r>
              <w:rPr>
                <w:rStyle w:val="AuswahltextZchn"/>
                <w:highlight w:val="yellow"/>
              </w:rPr>
              <w:t>le cas échéant au Comité consultatif</w:t>
            </w:r>
            <w:r>
              <w:rPr>
                <w:rStyle w:val="AuswahltextZchn"/>
              </w:rPr>
              <w:t>]</w:t>
            </w:r>
            <w:r>
              <w:t xml:space="preserve"> toutes les affaires dans lesquelles elle-même, les personnes chargées de la gestion des affaires ou les personnes liées à la SA indéfiniment responsable ou aux personnes chargées de la gestion des affaires ont directement ou indirectement un intérêt qui pourrait entrer en conflit avec les intérêts de la Société.</w:t>
            </w:r>
            <w:r w:rsidRPr="007C33AE">
              <w:rPr>
                <w:rStyle w:val="Funotenzeichen"/>
                <w:szCs w:val="24"/>
                <w:lang w:val="fr-FR"/>
              </w:rPr>
              <w:footnoteReference w:id="29"/>
            </w:r>
            <w:r>
              <w:t xml:space="preserve"> L’Assemblée des associés </w:t>
            </w:r>
            <w:r>
              <w:rPr>
                <w:color w:val="FF0000"/>
              </w:rPr>
              <w:t>[</w:t>
            </w:r>
            <w:r>
              <w:rPr>
                <w:color w:val="FF0000"/>
                <w:highlight w:val="yellow"/>
              </w:rPr>
              <w:t>le cas échéant le Comité consultatif</w:t>
            </w:r>
            <w:r>
              <w:rPr>
                <w:color w:val="FF0000"/>
              </w:rPr>
              <w:t>]</w:t>
            </w:r>
            <w:r>
              <w:t xml:space="preserve"> se prononce alors sur la suite des opérations. Les personnes chargées de la gestion des affaires sont indiquées dans le prospectus.</w:t>
            </w:r>
          </w:p>
          <w:p w14:paraId="38E7DC03" w14:textId="77777777" w:rsidR="00C465E6" w:rsidRPr="007C33AE" w:rsidRDefault="00C465E6" w:rsidP="00C465E6">
            <w:pPr>
              <w:rPr>
                <w:rFonts w:cs="Times New Roman"/>
                <w:szCs w:val="24"/>
                <w:lang w:val="fr-FR"/>
              </w:rPr>
            </w:pPr>
          </w:p>
        </w:tc>
      </w:tr>
      <w:tr w:rsidR="00C465E6" w:rsidRPr="00A118A6" w14:paraId="422633F4" w14:textId="77777777" w:rsidTr="00C465E6">
        <w:tc>
          <w:tcPr>
            <w:tcW w:w="9826" w:type="dxa"/>
          </w:tcPr>
          <w:p w14:paraId="65C24B48" w14:textId="77777777" w:rsidR="00C465E6" w:rsidRPr="007C33AE" w:rsidRDefault="00C465E6" w:rsidP="00C465E6">
            <w:pPr>
              <w:pStyle w:val="Einzug1"/>
              <w:rPr>
                <w:rFonts w:cs="Times New Roman"/>
                <w:szCs w:val="24"/>
              </w:rPr>
            </w:pPr>
            <w:r>
              <w:t>60.</w:t>
            </w:r>
            <w:r>
              <w:tab/>
              <w:t xml:space="preserve">Pour son activité, la SA indéfiniment responsable perçoit une indemnité fixe de </w:t>
            </w:r>
            <w:r>
              <w:rPr>
                <w:color w:val="FF0000"/>
              </w:rPr>
              <w:t>[</w:t>
            </w:r>
            <w:r>
              <w:rPr>
                <w:color w:val="FF0000"/>
                <w:highlight w:val="yellow"/>
              </w:rPr>
              <w:t>pourcentage</w:t>
            </w:r>
            <w:r>
              <w:rPr>
                <w:color w:val="FF0000"/>
              </w:rPr>
              <w:t>]</w:t>
            </w:r>
            <w:r>
              <w:t>% p.a. calculée sur l’intégralité du capital (Commandites et Fonds Propres Supplémentaires)</w:t>
            </w:r>
            <w:r>
              <w:rPr>
                <w:rStyle w:val="AuswahltextZchn"/>
                <w:color w:val="auto"/>
              </w:rPr>
              <w:t>.</w:t>
            </w:r>
            <w:r w:rsidRPr="007C33AE">
              <w:rPr>
                <w:rStyle w:val="Funotenzeichen"/>
                <w:szCs w:val="24"/>
                <w:lang w:val="fr-FR"/>
              </w:rPr>
              <w:footnoteReference w:id="30"/>
            </w:r>
          </w:p>
          <w:p w14:paraId="69CEEB4F" w14:textId="77777777" w:rsidR="00C465E6" w:rsidRPr="007C33AE" w:rsidRDefault="00C465E6" w:rsidP="00C465E6">
            <w:pPr>
              <w:rPr>
                <w:rFonts w:cs="Times New Roman"/>
                <w:szCs w:val="24"/>
                <w:lang w:val="fr-FR"/>
              </w:rPr>
            </w:pPr>
          </w:p>
        </w:tc>
      </w:tr>
      <w:tr w:rsidR="00C465E6" w:rsidRPr="003A5A1F" w14:paraId="2D4061B3" w14:textId="77777777" w:rsidTr="00C465E6">
        <w:tc>
          <w:tcPr>
            <w:tcW w:w="9826" w:type="dxa"/>
          </w:tcPr>
          <w:p w14:paraId="4EA3F3F4" w14:textId="77777777" w:rsidR="00C465E6" w:rsidRPr="007C33AE" w:rsidRDefault="00C465E6" w:rsidP="00C465E6">
            <w:pPr>
              <w:rPr>
                <w:rFonts w:cs="Times New Roman"/>
                <w:szCs w:val="24"/>
              </w:rPr>
            </w:pPr>
            <w:r>
              <w:t>61.</w:t>
            </w:r>
            <w:r>
              <w:tab/>
            </w:r>
            <w:r>
              <w:rPr>
                <w:rStyle w:val="AuswahltextZchn"/>
              </w:rPr>
              <w:t>[</w:t>
            </w:r>
            <w:r>
              <w:rPr>
                <w:rStyle w:val="AuswahltextZchn"/>
                <w:highlight w:val="yellow"/>
              </w:rPr>
              <w:t>Participation aux bénéfices</w:t>
            </w:r>
            <w:r>
              <w:rPr>
                <w:rStyle w:val="AuswahltextZchn"/>
              </w:rPr>
              <w:t>]</w:t>
            </w:r>
            <w:r w:rsidRPr="00545AEB">
              <w:rPr>
                <w:rStyle w:val="Funotenzeichen"/>
                <w:szCs w:val="24"/>
                <w:lang w:val="fr-FR"/>
              </w:rPr>
              <w:footnoteReference w:id="31"/>
            </w:r>
          </w:p>
          <w:p w14:paraId="02D2A917" w14:textId="77777777" w:rsidR="00C465E6" w:rsidRPr="007C33AE" w:rsidRDefault="00C465E6" w:rsidP="00C465E6">
            <w:pPr>
              <w:rPr>
                <w:rFonts w:cs="Times New Roman"/>
                <w:szCs w:val="24"/>
                <w:lang w:val="fr-FR"/>
              </w:rPr>
            </w:pPr>
          </w:p>
          <w:p w14:paraId="66AD9BD7" w14:textId="77777777" w:rsidR="00C465E6" w:rsidRPr="007C33AE" w:rsidRDefault="00C465E6" w:rsidP="00C465E6">
            <w:pPr>
              <w:rPr>
                <w:rFonts w:cs="Times New Roman"/>
                <w:szCs w:val="24"/>
                <w:lang w:val="fr-FR"/>
              </w:rPr>
            </w:pPr>
          </w:p>
        </w:tc>
      </w:tr>
      <w:tr w:rsidR="00C465E6" w:rsidRPr="003A5A1F" w14:paraId="230E4ECA" w14:textId="77777777" w:rsidTr="00C465E6">
        <w:tc>
          <w:tcPr>
            <w:tcW w:w="9826" w:type="dxa"/>
          </w:tcPr>
          <w:p w14:paraId="19F0CB4C" w14:textId="43A76DFF" w:rsidR="00C465E6" w:rsidRPr="007C33AE" w:rsidRDefault="00C465E6" w:rsidP="00C465E6">
            <w:pPr>
              <w:pStyle w:val="berschrift3"/>
            </w:pPr>
            <w:bookmarkStart w:id="28" w:name="_Toc94114407"/>
            <w:r>
              <w:t>B</w:t>
            </w:r>
            <w:r>
              <w:tab/>
              <w:t>Responsabilité et délégation</w:t>
            </w:r>
            <w:bookmarkEnd w:id="28"/>
          </w:p>
          <w:p w14:paraId="45B3F016" w14:textId="77777777" w:rsidR="00C465E6" w:rsidRPr="007C33AE" w:rsidRDefault="00C465E6" w:rsidP="00C465E6">
            <w:pPr>
              <w:rPr>
                <w:lang w:val="fr-FR"/>
              </w:rPr>
            </w:pPr>
          </w:p>
        </w:tc>
      </w:tr>
      <w:tr w:rsidR="00C465E6" w:rsidRPr="00A118A6" w14:paraId="3D0CDDC7" w14:textId="77777777" w:rsidTr="00C465E6">
        <w:tc>
          <w:tcPr>
            <w:tcW w:w="9826" w:type="dxa"/>
          </w:tcPr>
          <w:p w14:paraId="76F16A34" w14:textId="77777777" w:rsidR="00C465E6" w:rsidRPr="007C33AE" w:rsidRDefault="00C465E6" w:rsidP="00C465E6">
            <w:pPr>
              <w:pStyle w:val="Einzug1"/>
              <w:rPr>
                <w:rFonts w:cs="Times New Roman"/>
                <w:szCs w:val="24"/>
              </w:rPr>
            </w:pPr>
            <w:r>
              <w:t>62.</w:t>
            </w:r>
            <w:r>
              <w:tab/>
              <w:t>La SA indéfiniment responsable répond vis-à-vis des tiers des dettes de la Société. Sa responsabilité est illimitée et subsidiaire. La SA indéfiniment responsable ne peut être poursuivie par les créanciers de la Société que lorsque la Société a été dissoute ou a fait l’objet de poursuites infructueuses, respectivement lorsque la SA indéfiniment responsable est elle-même mise en faillite.</w:t>
            </w:r>
          </w:p>
          <w:p w14:paraId="26845064" w14:textId="77777777" w:rsidR="00C465E6" w:rsidRPr="007C33AE" w:rsidRDefault="00C465E6" w:rsidP="00C465E6">
            <w:pPr>
              <w:rPr>
                <w:rFonts w:cs="Times New Roman"/>
                <w:szCs w:val="24"/>
                <w:lang w:val="fr-FR"/>
              </w:rPr>
            </w:pPr>
          </w:p>
        </w:tc>
      </w:tr>
      <w:tr w:rsidR="00C465E6" w:rsidRPr="00A118A6" w14:paraId="634D3BBA" w14:textId="77777777" w:rsidTr="00C465E6">
        <w:tc>
          <w:tcPr>
            <w:tcW w:w="9826" w:type="dxa"/>
          </w:tcPr>
          <w:p w14:paraId="56DC7D5B" w14:textId="77777777" w:rsidR="00C465E6" w:rsidRDefault="00C465E6" w:rsidP="003A465B">
            <w:pPr>
              <w:pStyle w:val="Einzug1"/>
            </w:pPr>
            <w:bookmarkStart w:id="29" w:name="_Ref149877404"/>
            <w:r>
              <w:t>63.</w:t>
            </w:r>
            <w:r>
              <w:tab/>
              <w:t>La SA indéfiniment responsable veille au respect du présent contrat, y compris de ses annexes, ainsi que de la législation en vigueur, notamment de la LPCC. Elle transmet à l’autorité de surveillance les informations nécessaires et les renseignements demandés par celle-ci.</w:t>
            </w:r>
            <w:bookmarkEnd w:id="29"/>
          </w:p>
          <w:p w14:paraId="1D29AFE2" w14:textId="07DA257A" w:rsidR="006B61CF" w:rsidRPr="006B61CF" w:rsidRDefault="006B61CF" w:rsidP="006B61CF"/>
        </w:tc>
      </w:tr>
      <w:tr w:rsidR="00C465E6" w:rsidRPr="00A118A6" w14:paraId="1C5B6126" w14:textId="77777777" w:rsidTr="00C465E6">
        <w:tc>
          <w:tcPr>
            <w:tcW w:w="9826" w:type="dxa"/>
          </w:tcPr>
          <w:p w14:paraId="24F94B7A" w14:textId="77777777" w:rsidR="00C465E6" w:rsidRPr="007C33AE" w:rsidRDefault="00C465E6" w:rsidP="006B61CF">
            <w:pPr>
              <w:pStyle w:val="Einzug1"/>
              <w:rPr>
                <w:rFonts w:cs="Times New Roman"/>
                <w:szCs w:val="24"/>
              </w:rPr>
            </w:pPr>
            <w:r>
              <w:t>64.</w:t>
            </w:r>
            <w:r>
              <w:tab/>
              <w:t xml:space="preserve">La SA indéfiniment responsable peut désigner un conseil </w:t>
            </w:r>
            <w:proofErr w:type="gramStart"/>
            <w:r>
              <w:t>scientifique;</w:t>
            </w:r>
            <w:proofErr w:type="gramEnd"/>
            <w:r>
              <w:t xml:space="preserve"> la rémunération des membres de ce conseil est prélevée sur les honoraires de la SA indéfiniment responsable. Ce conseil ne dispose que d’une fonction </w:t>
            </w:r>
            <w:proofErr w:type="gramStart"/>
            <w:r>
              <w:t>consultative;</w:t>
            </w:r>
            <w:proofErr w:type="gramEnd"/>
            <w:r>
              <w:t xml:space="preserve"> il ne dispose pas de compétences de gestion ou de représentation.</w:t>
            </w:r>
          </w:p>
          <w:p w14:paraId="0AD1594C" w14:textId="77777777" w:rsidR="00C465E6" w:rsidRPr="003A465B" w:rsidRDefault="00C465E6" w:rsidP="00C465E6">
            <w:pPr>
              <w:rPr>
                <w:rFonts w:cs="Times New Roman"/>
                <w:sz w:val="20"/>
                <w:lang w:val="fr-FR"/>
              </w:rPr>
            </w:pPr>
          </w:p>
        </w:tc>
      </w:tr>
      <w:tr w:rsidR="00C465E6" w:rsidRPr="003A5A1F" w14:paraId="72476EEB" w14:textId="77777777" w:rsidTr="00C465E6">
        <w:tc>
          <w:tcPr>
            <w:tcW w:w="9826" w:type="dxa"/>
          </w:tcPr>
          <w:p w14:paraId="78AAAC8B" w14:textId="77777777" w:rsidR="00C465E6" w:rsidRPr="007C33AE" w:rsidRDefault="00C465E6" w:rsidP="006B61CF">
            <w:pPr>
              <w:pStyle w:val="Einzug1"/>
              <w:pageBreakBefore/>
              <w:rPr>
                <w:rFonts w:cs="Times New Roman"/>
                <w:szCs w:val="24"/>
              </w:rPr>
            </w:pPr>
            <w:r>
              <w:lastRenderedPageBreak/>
              <w:t>65.</w:t>
            </w:r>
            <w:r>
              <w:tab/>
              <w:t xml:space="preserve">La SA indéfiniment responsable peut déléguer les pouvoirs suivants à des tiers externes </w:t>
            </w:r>
            <w:proofErr w:type="gramStart"/>
            <w:r>
              <w:t>qualifiés:</w:t>
            </w:r>
            <w:proofErr w:type="gramEnd"/>
            <w:r w:rsidRPr="007C33AE">
              <w:rPr>
                <w:rStyle w:val="Funotenzeichen"/>
                <w:szCs w:val="24"/>
                <w:lang w:val="fr-FR"/>
              </w:rPr>
              <w:footnoteReference w:id="32"/>
            </w:r>
          </w:p>
          <w:p w14:paraId="46AA441C" w14:textId="77777777" w:rsidR="00C465E6" w:rsidRPr="007C33AE" w:rsidRDefault="00C465E6" w:rsidP="00C465E6">
            <w:pPr>
              <w:tabs>
                <w:tab w:val="left" w:pos="709"/>
                <w:tab w:val="left" w:pos="992"/>
              </w:tabs>
              <w:ind w:left="993" w:hanging="284"/>
              <w:rPr>
                <w:rFonts w:cs="Times New Roman"/>
                <w:szCs w:val="24"/>
              </w:rPr>
            </w:pPr>
            <w:r>
              <w:sym w:font="Wingdings" w:char="F09F"/>
            </w:r>
            <w:r>
              <w:tab/>
            </w:r>
            <w:r>
              <w:rPr>
                <w:rStyle w:val="AuswahltextZchn"/>
              </w:rPr>
              <w:t>[</w:t>
            </w:r>
            <w:r>
              <w:rPr>
                <w:rStyle w:val="AuswahltextZchn"/>
                <w:highlight w:val="yellow"/>
              </w:rPr>
              <w:t>…</w:t>
            </w:r>
            <w:r>
              <w:rPr>
                <w:rStyle w:val="AuswahltextZchn"/>
              </w:rPr>
              <w:t>]</w:t>
            </w:r>
          </w:p>
          <w:p w14:paraId="0D03CA81" w14:textId="77777777" w:rsidR="00C465E6" w:rsidRPr="007C33AE" w:rsidRDefault="00C465E6" w:rsidP="00C465E6">
            <w:pPr>
              <w:ind w:left="994" w:hanging="274"/>
              <w:rPr>
                <w:rStyle w:val="AuswahltextZchn"/>
                <w:rFonts w:cs="Times New Roman"/>
                <w:szCs w:val="24"/>
              </w:rPr>
            </w:pPr>
            <w:r>
              <w:sym w:font="Wingdings" w:char="F09F"/>
            </w:r>
            <w:r>
              <w:tab/>
            </w:r>
            <w:r>
              <w:rPr>
                <w:rStyle w:val="AuswahltextZchn"/>
              </w:rPr>
              <w:t>[</w:t>
            </w:r>
            <w:r>
              <w:rPr>
                <w:rStyle w:val="AuswahltextZchn"/>
                <w:highlight w:val="yellow"/>
              </w:rPr>
              <w:t>…</w:t>
            </w:r>
            <w:r>
              <w:rPr>
                <w:rStyle w:val="AuswahltextZchn"/>
              </w:rPr>
              <w:t>]</w:t>
            </w:r>
            <w:r w:rsidRPr="00545AEB">
              <w:rPr>
                <w:rStyle w:val="Funotenzeichen"/>
                <w:szCs w:val="24"/>
                <w:lang w:val="fr-FR"/>
              </w:rPr>
              <w:footnoteReference w:id="33"/>
            </w:r>
          </w:p>
          <w:p w14:paraId="657C72A7" w14:textId="77777777" w:rsidR="00C465E6" w:rsidRPr="006B61CF" w:rsidRDefault="00C465E6" w:rsidP="00C465E6">
            <w:pPr>
              <w:rPr>
                <w:lang w:val="fr-FR"/>
              </w:rPr>
            </w:pPr>
          </w:p>
        </w:tc>
      </w:tr>
      <w:tr w:rsidR="00C465E6" w:rsidRPr="00A118A6" w14:paraId="1C926BE4" w14:textId="77777777" w:rsidTr="00C465E6">
        <w:tc>
          <w:tcPr>
            <w:tcW w:w="9826" w:type="dxa"/>
          </w:tcPr>
          <w:p w14:paraId="3977300C" w14:textId="77777777" w:rsidR="00C465E6" w:rsidRPr="007C33AE" w:rsidRDefault="00C465E6" w:rsidP="00C465E6">
            <w:pPr>
              <w:pStyle w:val="Einzug1"/>
              <w:rPr>
                <w:rFonts w:cs="Times New Roman"/>
                <w:szCs w:val="24"/>
              </w:rPr>
            </w:pPr>
            <w:r>
              <w:t>66.</w:t>
            </w:r>
            <w:r>
              <w:tab/>
              <w:t xml:space="preserve">La délégation de pouvoirs de gestion ne peut avoir lieu qu’en faveur de personnes ou entreprises dûment </w:t>
            </w:r>
            <w:proofErr w:type="gramStart"/>
            <w:r>
              <w:t>qualifiées;</w:t>
            </w:r>
            <w:proofErr w:type="gramEnd"/>
            <w:r>
              <w:t xml:space="preserve"> la SA indéfiniment responsable est responsable de la diligence dans l’instruction, la surveillance et le contrôle de ses mandataires.</w:t>
            </w:r>
          </w:p>
          <w:p w14:paraId="2C7B0DCF" w14:textId="77777777" w:rsidR="00C465E6" w:rsidRPr="006B61CF" w:rsidRDefault="00C465E6" w:rsidP="00C465E6">
            <w:pPr>
              <w:pStyle w:val="Einzug1"/>
              <w:rPr>
                <w:rFonts w:cs="Times New Roman"/>
                <w:szCs w:val="24"/>
                <w:lang w:val="fr-FR"/>
              </w:rPr>
            </w:pPr>
          </w:p>
          <w:p w14:paraId="07CD82B0" w14:textId="77777777" w:rsidR="00C465E6" w:rsidRPr="006B61CF" w:rsidRDefault="00C465E6" w:rsidP="00C465E6">
            <w:pPr>
              <w:rPr>
                <w:lang w:val="fr-FR"/>
              </w:rPr>
            </w:pPr>
          </w:p>
          <w:p w14:paraId="721B4E29" w14:textId="77777777" w:rsidR="00C465E6" w:rsidRPr="006B61CF" w:rsidRDefault="00C465E6" w:rsidP="00C465E6">
            <w:pPr>
              <w:rPr>
                <w:lang w:val="fr-FR"/>
              </w:rPr>
            </w:pPr>
          </w:p>
        </w:tc>
      </w:tr>
      <w:tr w:rsidR="00C465E6" w:rsidRPr="00A118A6" w14:paraId="594C91ED" w14:textId="77777777" w:rsidTr="00C465E6">
        <w:tc>
          <w:tcPr>
            <w:tcW w:w="9826" w:type="dxa"/>
          </w:tcPr>
          <w:p w14:paraId="3841BA02" w14:textId="303F6EFC" w:rsidR="00C465E6" w:rsidRPr="007C33AE" w:rsidRDefault="00C465E6" w:rsidP="00C465E6">
            <w:pPr>
              <w:pStyle w:val="berschrift2"/>
            </w:pPr>
            <w:bookmarkStart w:id="30" w:name="_Toc94114408"/>
            <w:r>
              <w:t>VII</w:t>
            </w:r>
            <w:r>
              <w:tab/>
              <w:t>Comptabilité, distribution des bénéfices, Société d’audit et Organe de révision</w:t>
            </w:r>
            <w:bookmarkEnd w:id="30"/>
          </w:p>
          <w:p w14:paraId="4C89B0B3" w14:textId="77777777" w:rsidR="00C465E6" w:rsidRPr="006B61CF" w:rsidRDefault="00C465E6" w:rsidP="00C465E6">
            <w:pPr>
              <w:rPr>
                <w:lang w:val="fr-FR"/>
              </w:rPr>
            </w:pPr>
          </w:p>
        </w:tc>
      </w:tr>
      <w:tr w:rsidR="00C465E6" w:rsidRPr="00A118A6" w14:paraId="40ADFE55" w14:textId="77777777" w:rsidTr="00C465E6">
        <w:tc>
          <w:tcPr>
            <w:tcW w:w="9826" w:type="dxa"/>
          </w:tcPr>
          <w:p w14:paraId="69871533" w14:textId="32F2BF1F" w:rsidR="00C465E6" w:rsidRPr="007C33AE" w:rsidRDefault="00C465E6" w:rsidP="00C465E6">
            <w:pPr>
              <w:pStyle w:val="berschrift3"/>
            </w:pPr>
            <w:bookmarkStart w:id="31" w:name="_Toc94114409"/>
            <w:r>
              <w:t>A</w:t>
            </w:r>
            <w:r>
              <w:tab/>
              <w:t>Comptabilité, évaluation et compte rendu</w:t>
            </w:r>
            <w:bookmarkEnd w:id="31"/>
          </w:p>
          <w:p w14:paraId="7E453923" w14:textId="77777777" w:rsidR="00C465E6" w:rsidRPr="006B61CF" w:rsidRDefault="00C465E6" w:rsidP="00C465E6">
            <w:pPr>
              <w:rPr>
                <w:lang w:val="fr-FR"/>
              </w:rPr>
            </w:pPr>
          </w:p>
        </w:tc>
      </w:tr>
      <w:tr w:rsidR="00C465E6" w:rsidRPr="00A118A6" w14:paraId="35CFF74F" w14:textId="77777777" w:rsidTr="00C465E6">
        <w:tc>
          <w:tcPr>
            <w:tcW w:w="9826" w:type="dxa"/>
          </w:tcPr>
          <w:p w14:paraId="6E02DE37" w14:textId="77777777" w:rsidR="00C465E6" w:rsidRPr="007C33AE" w:rsidRDefault="00C465E6" w:rsidP="00C465E6">
            <w:pPr>
              <w:pStyle w:val="Einzug1"/>
              <w:rPr>
                <w:rFonts w:cs="Times New Roman"/>
                <w:szCs w:val="24"/>
              </w:rPr>
            </w:pPr>
            <w:r>
              <w:t>67.</w:t>
            </w:r>
            <w:r>
              <w:tab/>
              <w:t>La SA indéfiniment responsable rend compte trimestriellement sur la marche des affaires. Le rapport annuel contient les données prévues à l’article 89 LPCC.</w:t>
            </w:r>
            <w:r w:rsidRPr="007C33AE">
              <w:rPr>
                <w:rStyle w:val="Funotenzeichen"/>
                <w:szCs w:val="24"/>
                <w:lang w:val="fr-FR"/>
              </w:rPr>
              <w:footnoteReference w:id="34"/>
            </w:r>
          </w:p>
          <w:p w14:paraId="7F13CDED" w14:textId="77777777" w:rsidR="00C465E6" w:rsidRPr="006B61CF" w:rsidRDefault="00C465E6" w:rsidP="00C465E6">
            <w:pPr>
              <w:rPr>
                <w:rFonts w:cs="Times New Roman"/>
                <w:szCs w:val="24"/>
                <w:lang w:val="fr-FR"/>
              </w:rPr>
            </w:pPr>
          </w:p>
        </w:tc>
      </w:tr>
      <w:tr w:rsidR="00C465E6" w:rsidRPr="00A118A6" w14:paraId="2A05AFC6" w14:textId="77777777" w:rsidTr="00C465E6">
        <w:tc>
          <w:tcPr>
            <w:tcW w:w="9826" w:type="dxa"/>
          </w:tcPr>
          <w:p w14:paraId="064F4F12" w14:textId="77777777" w:rsidR="00C465E6" w:rsidRPr="007C33AE" w:rsidRDefault="00C465E6" w:rsidP="00C465E6">
            <w:pPr>
              <w:pStyle w:val="Einzug1"/>
              <w:rPr>
                <w:rFonts w:cs="Times New Roman"/>
                <w:szCs w:val="24"/>
              </w:rPr>
            </w:pPr>
            <w:r>
              <w:t>68.</w:t>
            </w:r>
            <w:r>
              <w:tab/>
              <w:t xml:space="preserve">L’exercice comptable de la Société est </w:t>
            </w:r>
            <w:r>
              <w:rPr>
                <w:color w:val="FF0000"/>
              </w:rPr>
              <w:t>[</w:t>
            </w:r>
            <w:r>
              <w:rPr>
                <w:color w:val="FF0000"/>
                <w:highlight w:val="yellow"/>
              </w:rPr>
              <w:t>l’année civile</w:t>
            </w:r>
            <w:r>
              <w:rPr>
                <w:color w:val="FF0000"/>
              </w:rPr>
              <w:t>]</w:t>
            </w:r>
            <w:r>
              <w:t xml:space="preserve">. La monnaie de référence est </w:t>
            </w:r>
            <w:r>
              <w:rPr>
                <w:rStyle w:val="AuswahltextZchn"/>
              </w:rPr>
              <w:t>[</w:t>
            </w:r>
            <w:r>
              <w:rPr>
                <w:rStyle w:val="AuswahltextZchn"/>
                <w:highlight w:val="yellow"/>
              </w:rPr>
              <w:t>…</w:t>
            </w:r>
            <w:r>
              <w:rPr>
                <w:rStyle w:val="AuswahltextZchn"/>
              </w:rPr>
              <w:t>]</w:t>
            </w:r>
            <w:r>
              <w:t>.</w:t>
            </w:r>
          </w:p>
          <w:p w14:paraId="2B990FF3" w14:textId="77777777" w:rsidR="00C465E6" w:rsidRPr="006B61CF" w:rsidRDefault="00C465E6" w:rsidP="00C465E6">
            <w:pPr>
              <w:pStyle w:val="Einzug1"/>
              <w:rPr>
                <w:rFonts w:cs="Times New Roman"/>
                <w:szCs w:val="24"/>
                <w:lang w:val="fr-FR"/>
              </w:rPr>
            </w:pPr>
          </w:p>
        </w:tc>
      </w:tr>
      <w:tr w:rsidR="00C465E6" w:rsidRPr="00A118A6" w14:paraId="31DC8B51" w14:textId="77777777" w:rsidTr="00C465E6">
        <w:tc>
          <w:tcPr>
            <w:tcW w:w="9826" w:type="dxa"/>
          </w:tcPr>
          <w:p w14:paraId="3735183F" w14:textId="77777777" w:rsidR="00C465E6" w:rsidRPr="007C33AE" w:rsidRDefault="00C465E6" w:rsidP="00C465E6">
            <w:pPr>
              <w:pStyle w:val="Einzug1"/>
              <w:rPr>
                <w:rFonts w:cs="Times New Roman"/>
                <w:szCs w:val="24"/>
              </w:rPr>
            </w:pPr>
            <w:r>
              <w:t>69.</w:t>
            </w:r>
            <w:r>
              <w:tab/>
              <w:t xml:space="preserve">La SA indéfiniment responsable tient, pour chaque Commanditaire, un compte de capital, reflétant la Commandite souscrite par celui-ci, les Fonds Propres Supplémentaires, les apports effectués, les montants remboursés au Commanditaire sur les Fonds Propres Supplémentaires et la Commandite ainsi que les quotes-parts de bénéfice qui lui ont été versées. </w:t>
            </w:r>
            <w:r>
              <w:rPr>
                <w:rStyle w:val="AuswahltextZchn"/>
              </w:rPr>
              <w:t>[</w:t>
            </w:r>
            <w:proofErr w:type="gramStart"/>
            <w:r>
              <w:rPr>
                <w:rStyle w:val="AuswahltextZchn"/>
                <w:highlight w:val="yellow"/>
              </w:rPr>
              <w:t>compte</w:t>
            </w:r>
            <w:proofErr w:type="gramEnd"/>
            <w:r>
              <w:rPr>
                <w:rStyle w:val="AuswahltextZchn"/>
                <w:highlight w:val="yellow"/>
              </w:rPr>
              <w:t xml:space="preserve"> courant en supplément, éventuellement compte de report de pertes</w:t>
            </w:r>
            <w:r>
              <w:rPr>
                <w:rStyle w:val="AuswahltextZchn"/>
              </w:rPr>
              <w:t>]</w:t>
            </w:r>
          </w:p>
          <w:p w14:paraId="0AEFF026" w14:textId="77777777" w:rsidR="00C465E6" w:rsidRPr="006B61CF" w:rsidRDefault="00C465E6" w:rsidP="00C465E6">
            <w:pPr>
              <w:rPr>
                <w:rFonts w:cs="Times New Roman"/>
                <w:szCs w:val="24"/>
                <w:lang w:val="fr-FR"/>
              </w:rPr>
            </w:pPr>
          </w:p>
        </w:tc>
      </w:tr>
      <w:tr w:rsidR="00C465E6" w:rsidRPr="00A118A6" w14:paraId="57CEBB0A" w14:textId="77777777" w:rsidTr="00C465E6">
        <w:tc>
          <w:tcPr>
            <w:tcW w:w="9826" w:type="dxa"/>
          </w:tcPr>
          <w:p w14:paraId="74D96E07" w14:textId="77777777" w:rsidR="00C465E6" w:rsidRPr="007C33AE" w:rsidRDefault="00C465E6" w:rsidP="00C465E6">
            <w:pPr>
              <w:pStyle w:val="Einzug1"/>
              <w:rPr>
                <w:rFonts w:cs="Times New Roman"/>
                <w:szCs w:val="24"/>
              </w:rPr>
            </w:pPr>
            <w:r>
              <w:t>70.</w:t>
            </w:r>
            <w:r>
              <w:tab/>
              <w:t>La Société maintient une comptabilité séparée s’agissant des gains en capital, d’une part, et des intérêts et dividendes, d’autre part.</w:t>
            </w:r>
          </w:p>
          <w:p w14:paraId="545EE6F2" w14:textId="77777777" w:rsidR="00C465E6" w:rsidRPr="006B61CF" w:rsidRDefault="00C465E6" w:rsidP="00C465E6">
            <w:pPr>
              <w:pStyle w:val="Einzug1"/>
              <w:rPr>
                <w:rFonts w:cs="Times New Roman"/>
                <w:szCs w:val="24"/>
                <w:lang w:val="fr-FR"/>
              </w:rPr>
            </w:pPr>
          </w:p>
        </w:tc>
      </w:tr>
      <w:tr w:rsidR="00C465E6" w:rsidRPr="003A5A1F" w14:paraId="5D7E0398" w14:textId="77777777" w:rsidTr="00C465E6">
        <w:tc>
          <w:tcPr>
            <w:tcW w:w="9826" w:type="dxa"/>
          </w:tcPr>
          <w:p w14:paraId="30EA4267" w14:textId="77777777" w:rsidR="00C465E6" w:rsidRPr="007C33AE" w:rsidRDefault="00C465E6" w:rsidP="003A465B">
            <w:pPr>
              <w:pStyle w:val="Einzug1"/>
              <w:rPr>
                <w:rFonts w:cs="Times New Roman"/>
                <w:szCs w:val="24"/>
              </w:rPr>
            </w:pPr>
            <w:r>
              <w:t>71.</w:t>
            </w:r>
            <w:r>
              <w:tab/>
              <w:t xml:space="preserve">L’évaluation des actifs et passifs, notamment des objets d’investissement, s’effectue en fonction des principes </w:t>
            </w:r>
            <w:proofErr w:type="gramStart"/>
            <w:r>
              <w:t>suivants:</w:t>
            </w:r>
            <w:proofErr w:type="gramEnd"/>
            <w:r w:rsidRPr="007C33AE">
              <w:rPr>
                <w:rStyle w:val="Funotenzeichen"/>
                <w:szCs w:val="24"/>
                <w:lang w:val="fr-FR"/>
              </w:rPr>
              <w:footnoteReference w:id="35"/>
            </w:r>
          </w:p>
          <w:p w14:paraId="2602461B" w14:textId="77777777" w:rsidR="00C465E6" w:rsidRPr="007C33AE" w:rsidRDefault="00C465E6" w:rsidP="00C465E6">
            <w:pPr>
              <w:pStyle w:val="Einzug1"/>
              <w:tabs>
                <w:tab w:val="left" w:pos="992"/>
              </w:tabs>
              <w:ind w:left="993" w:hanging="284"/>
              <w:rPr>
                <w:rFonts w:cs="Times New Roman"/>
                <w:szCs w:val="24"/>
              </w:rPr>
            </w:pPr>
            <w:r>
              <w:sym w:font="Wingdings" w:char="F09F"/>
            </w:r>
            <w:r>
              <w:tab/>
            </w:r>
            <w:r>
              <w:rPr>
                <w:rStyle w:val="AuswahltextZchn"/>
              </w:rPr>
              <w:t>[</w:t>
            </w:r>
            <w:r>
              <w:rPr>
                <w:rStyle w:val="AuswahltextZchn"/>
                <w:highlight w:val="yellow"/>
              </w:rPr>
              <w:t>…</w:t>
            </w:r>
            <w:r>
              <w:rPr>
                <w:rStyle w:val="AuswahltextZchn"/>
              </w:rPr>
              <w:t>]</w:t>
            </w:r>
          </w:p>
          <w:p w14:paraId="12E51F3D" w14:textId="77777777" w:rsidR="003A465B" w:rsidRDefault="00C465E6" w:rsidP="003A465B">
            <w:pPr>
              <w:pStyle w:val="Einzug1"/>
              <w:tabs>
                <w:tab w:val="left" w:pos="992"/>
              </w:tabs>
              <w:ind w:left="993" w:hanging="284"/>
              <w:rPr>
                <w:rStyle w:val="AuswahltextZchn"/>
              </w:rPr>
            </w:pPr>
            <w:r>
              <w:sym w:font="Wingdings" w:char="F09F"/>
            </w:r>
            <w:r>
              <w:tab/>
            </w:r>
            <w:r>
              <w:rPr>
                <w:rStyle w:val="AuswahltextZchn"/>
              </w:rPr>
              <w:t>[</w:t>
            </w:r>
            <w:r>
              <w:rPr>
                <w:rStyle w:val="AuswahltextZchn"/>
                <w:highlight w:val="yellow"/>
              </w:rPr>
              <w:t>…</w:t>
            </w:r>
            <w:r>
              <w:rPr>
                <w:rStyle w:val="AuswahltextZchn"/>
              </w:rPr>
              <w:t>]</w:t>
            </w:r>
          </w:p>
          <w:p w14:paraId="2FF4CD8A" w14:textId="5C53B8CB" w:rsidR="006B61CF" w:rsidRPr="006B61CF" w:rsidRDefault="006B61CF" w:rsidP="006B61CF"/>
        </w:tc>
      </w:tr>
      <w:tr w:rsidR="00C465E6" w:rsidRPr="003A5A1F" w14:paraId="0234BAFA" w14:textId="77777777" w:rsidTr="00C465E6">
        <w:tc>
          <w:tcPr>
            <w:tcW w:w="9826" w:type="dxa"/>
          </w:tcPr>
          <w:p w14:paraId="465CBD9A" w14:textId="77777777" w:rsidR="00C465E6" w:rsidRPr="007C33AE" w:rsidRDefault="00C465E6" w:rsidP="006B61CF">
            <w:pPr>
              <w:pStyle w:val="Einzug1"/>
              <w:rPr>
                <w:rFonts w:cs="Times New Roman"/>
                <w:szCs w:val="24"/>
              </w:rPr>
            </w:pPr>
            <w:r>
              <w:t>72.</w:t>
            </w:r>
            <w:r>
              <w:tab/>
            </w:r>
            <w:r>
              <w:rPr>
                <w:rStyle w:val="AuswahltextZchn1"/>
              </w:rPr>
              <w:t>[</w:t>
            </w:r>
            <w:r>
              <w:rPr>
                <w:rStyle w:val="AuswahltextZchn1"/>
                <w:highlight w:val="yellow"/>
              </w:rPr>
              <w:t>Autres principes comptables</w:t>
            </w:r>
            <w:r>
              <w:rPr>
                <w:rStyle w:val="AuswahltextZchn1"/>
              </w:rPr>
              <w:t>]</w:t>
            </w:r>
            <w:r>
              <w:t>.</w:t>
            </w:r>
          </w:p>
          <w:p w14:paraId="6EE29F8C" w14:textId="77777777" w:rsidR="00C465E6" w:rsidRPr="007C33AE" w:rsidRDefault="00C465E6" w:rsidP="00C465E6">
            <w:pPr>
              <w:pStyle w:val="Einzug1"/>
              <w:rPr>
                <w:rFonts w:cs="Times New Roman"/>
                <w:szCs w:val="24"/>
                <w:lang w:val="fr-FR"/>
              </w:rPr>
            </w:pPr>
          </w:p>
          <w:p w14:paraId="070FBF90" w14:textId="77777777" w:rsidR="00C465E6" w:rsidRPr="007C33AE" w:rsidRDefault="00C465E6" w:rsidP="00C465E6">
            <w:pPr>
              <w:rPr>
                <w:rFonts w:cs="Times New Roman"/>
                <w:szCs w:val="24"/>
                <w:lang w:val="fr-FR"/>
              </w:rPr>
            </w:pPr>
          </w:p>
        </w:tc>
      </w:tr>
      <w:tr w:rsidR="00C465E6" w:rsidRPr="00A118A6" w14:paraId="0B842459" w14:textId="77777777" w:rsidTr="00C465E6">
        <w:tc>
          <w:tcPr>
            <w:tcW w:w="9826" w:type="dxa"/>
          </w:tcPr>
          <w:p w14:paraId="3BF5BD1F" w14:textId="00855E9B" w:rsidR="00C465E6" w:rsidRPr="007C33AE" w:rsidRDefault="00C465E6" w:rsidP="00C465E6">
            <w:pPr>
              <w:pStyle w:val="berschrift3"/>
            </w:pPr>
            <w:bookmarkStart w:id="32" w:name="_Toc94114410"/>
            <w:r>
              <w:t>B</w:t>
            </w:r>
            <w:r>
              <w:tab/>
              <w:t>Remboursement du capital et distribution du bénéfice</w:t>
            </w:r>
            <w:bookmarkEnd w:id="32"/>
          </w:p>
          <w:p w14:paraId="5D651FDC" w14:textId="77777777" w:rsidR="00C465E6" w:rsidRPr="007C33AE" w:rsidRDefault="00C465E6" w:rsidP="00C465E6">
            <w:pPr>
              <w:rPr>
                <w:lang w:val="fr-FR"/>
              </w:rPr>
            </w:pPr>
          </w:p>
        </w:tc>
      </w:tr>
      <w:tr w:rsidR="00C465E6" w:rsidRPr="00A118A6" w14:paraId="2EB42596" w14:textId="77777777" w:rsidTr="00C465E6">
        <w:tc>
          <w:tcPr>
            <w:tcW w:w="9826" w:type="dxa"/>
          </w:tcPr>
          <w:p w14:paraId="6773339C" w14:textId="77777777" w:rsidR="00C465E6" w:rsidRPr="007C33AE" w:rsidRDefault="00C465E6" w:rsidP="00C465E6">
            <w:pPr>
              <w:pStyle w:val="Einzug1"/>
              <w:rPr>
                <w:rFonts w:cs="Times New Roman"/>
                <w:szCs w:val="24"/>
              </w:rPr>
            </w:pPr>
            <w:r>
              <w:lastRenderedPageBreak/>
              <w:t>73.</w:t>
            </w:r>
            <w:r>
              <w:tab/>
              <w:t>La SA indéfiniment responsable décide librement du montant et du moment de la distribution de produits et de gains en capital réalisés durant l’exercice comptable, dans la mesure où des liquidités suffisantes sont disponibles et que des provisions adéquates ont été constituées pour couvrir les engagements courants et prévisibles de la Société (y compris les frais d’administration et d’éventuels engagements de financement). Sous réserve du respect des dispositions de ce contrat, la Société peut distribuer en tout temps les revenus et les gains en capital réalisés.</w:t>
            </w:r>
          </w:p>
          <w:p w14:paraId="498FDA3D" w14:textId="77777777" w:rsidR="00C465E6" w:rsidRPr="007C33AE" w:rsidRDefault="00C465E6" w:rsidP="00C465E6">
            <w:pPr>
              <w:pStyle w:val="Einzug1"/>
              <w:rPr>
                <w:rFonts w:cs="Times New Roman"/>
                <w:szCs w:val="24"/>
                <w:lang w:val="fr-FR"/>
              </w:rPr>
            </w:pPr>
          </w:p>
        </w:tc>
      </w:tr>
      <w:tr w:rsidR="00C465E6" w:rsidRPr="00A118A6" w14:paraId="4AC29F6A" w14:textId="77777777" w:rsidTr="00C465E6">
        <w:tc>
          <w:tcPr>
            <w:tcW w:w="9826" w:type="dxa"/>
          </w:tcPr>
          <w:p w14:paraId="5012B3A6" w14:textId="77777777" w:rsidR="00C465E6" w:rsidRPr="007C33AE" w:rsidRDefault="00C465E6" w:rsidP="00C465E6">
            <w:pPr>
              <w:pStyle w:val="Einzug1"/>
              <w:rPr>
                <w:rFonts w:cs="Times New Roman"/>
                <w:szCs w:val="24"/>
              </w:rPr>
            </w:pPr>
            <w:r>
              <w:t>74.</w:t>
            </w:r>
            <w:r>
              <w:tab/>
              <w:t>Toutes les distributions de revenus et de gains en capital disponibles selon le chiffre 73 sont effectuées, sous réserve d’éventuels impôts ou d’autres taxes (y compris un éventuel impôt à la source), conformément aux principes suivants (après la couverture des engagements et d’éventuelles dettes de la Société</w:t>
            </w:r>
            <w:proofErr w:type="gramStart"/>
            <w:r>
              <w:t>):</w:t>
            </w:r>
            <w:proofErr w:type="gramEnd"/>
            <w:r w:rsidRPr="003A5A1F">
              <w:rPr>
                <w:rStyle w:val="Funotenzeichen"/>
                <w:szCs w:val="24"/>
                <w:lang w:val="fr-FR"/>
              </w:rPr>
              <w:footnoteReference w:id="36"/>
            </w:r>
          </w:p>
          <w:p w14:paraId="7882BE12" w14:textId="77777777" w:rsidR="00C465E6" w:rsidRPr="007C33AE" w:rsidRDefault="00C465E6" w:rsidP="00C465E6">
            <w:pPr>
              <w:pStyle w:val="Einzug1"/>
              <w:rPr>
                <w:rFonts w:cs="Times New Roman"/>
                <w:szCs w:val="24"/>
                <w:lang w:val="fr-FR"/>
              </w:rPr>
            </w:pPr>
          </w:p>
        </w:tc>
      </w:tr>
      <w:tr w:rsidR="00C465E6" w:rsidRPr="00A118A6" w14:paraId="2C6DCCAB" w14:textId="77777777" w:rsidTr="00C465E6">
        <w:tc>
          <w:tcPr>
            <w:tcW w:w="9826" w:type="dxa"/>
          </w:tcPr>
          <w:p w14:paraId="276A8E7C" w14:textId="77777777" w:rsidR="00C465E6" w:rsidRPr="007C33AE" w:rsidRDefault="00C465E6" w:rsidP="00C465E6">
            <w:pPr>
              <w:pStyle w:val="Einzug2"/>
              <w:rPr>
                <w:rFonts w:cs="Times New Roman"/>
                <w:szCs w:val="24"/>
              </w:rPr>
            </w:pPr>
            <w:r>
              <w:t>a)</w:t>
            </w:r>
            <w:r>
              <w:tab/>
              <w:t>premièrement aux Commanditaires au pro rata des Fonds Propres Supplémentaires versés, jusqu’au remboursement complet de ceux-</w:t>
            </w:r>
            <w:proofErr w:type="gramStart"/>
            <w:r>
              <w:t>ci;</w:t>
            </w:r>
            <w:proofErr w:type="gramEnd"/>
          </w:p>
          <w:p w14:paraId="3DE8F0E1" w14:textId="77777777" w:rsidR="00C465E6" w:rsidRPr="007C33AE" w:rsidRDefault="00C465E6" w:rsidP="00C465E6">
            <w:pPr>
              <w:rPr>
                <w:rFonts w:cs="Times New Roman"/>
                <w:szCs w:val="24"/>
                <w:lang w:val="fr-FR"/>
              </w:rPr>
            </w:pPr>
          </w:p>
        </w:tc>
      </w:tr>
      <w:tr w:rsidR="00C465E6" w:rsidRPr="00A118A6" w14:paraId="58A80180" w14:textId="77777777" w:rsidTr="00C465E6">
        <w:tc>
          <w:tcPr>
            <w:tcW w:w="9826" w:type="dxa"/>
          </w:tcPr>
          <w:p w14:paraId="0B51894D" w14:textId="77777777" w:rsidR="00C465E6" w:rsidRPr="007C33AE" w:rsidRDefault="00C465E6" w:rsidP="00C465E6">
            <w:pPr>
              <w:pStyle w:val="Einzug2"/>
              <w:rPr>
                <w:rFonts w:cs="Times New Roman"/>
                <w:szCs w:val="24"/>
              </w:rPr>
            </w:pPr>
            <w:r>
              <w:t>b)</w:t>
            </w:r>
            <w:r>
              <w:tab/>
            </w:r>
            <w:r>
              <w:rPr>
                <w:rStyle w:val="AuswahltextZchn"/>
              </w:rPr>
              <w:t>[</w:t>
            </w:r>
            <w:r>
              <w:rPr>
                <w:rStyle w:val="AuswahltextZchn"/>
                <w:highlight w:val="yellow"/>
              </w:rPr>
              <w:t xml:space="preserve">deuxièmement aux Commanditaires au pro rata des Fonds Propres Supplémentaires versés jusqu’à concurrence d’un montant correspondant à [pourcentage]% p.a. des Fonds Propres Supplémentaires </w:t>
            </w:r>
            <w:proofErr w:type="gramStart"/>
            <w:r>
              <w:rPr>
                <w:rStyle w:val="AuswahltextZchn"/>
                <w:highlight w:val="yellow"/>
              </w:rPr>
              <w:t>versés;</w:t>
            </w:r>
            <w:proofErr w:type="gramEnd"/>
            <w:r>
              <w:rPr>
                <w:rStyle w:val="AuswahltextZchn"/>
              </w:rPr>
              <w:t>]</w:t>
            </w:r>
          </w:p>
          <w:p w14:paraId="520D05E5" w14:textId="77777777" w:rsidR="00C465E6" w:rsidRPr="007C33AE" w:rsidRDefault="00C465E6" w:rsidP="00C465E6">
            <w:pPr>
              <w:rPr>
                <w:lang w:val="fr-FR"/>
              </w:rPr>
            </w:pPr>
          </w:p>
        </w:tc>
      </w:tr>
      <w:tr w:rsidR="00C465E6" w:rsidRPr="00A118A6" w14:paraId="59B6468F" w14:textId="77777777" w:rsidTr="00C465E6">
        <w:tc>
          <w:tcPr>
            <w:tcW w:w="9826" w:type="dxa"/>
          </w:tcPr>
          <w:p w14:paraId="404E6723" w14:textId="77777777" w:rsidR="00C465E6" w:rsidRPr="007C33AE" w:rsidRDefault="00C465E6" w:rsidP="00C465E6">
            <w:pPr>
              <w:pStyle w:val="Einzug2"/>
              <w:rPr>
                <w:rFonts w:cs="Times New Roman"/>
                <w:szCs w:val="24"/>
              </w:rPr>
            </w:pPr>
            <w:r>
              <w:t>c)</w:t>
            </w:r>
            <w:r>
              <w:tab/>
              <w:t>ensuite aux Commanditaires au pro rata de leurs Commandites.</w:t>
            </w:r>
          </w:p>
          <w:p w14:paraId="1AD7892D" w14:textId="77777777" w:rsidR="00C465E6" w:rsidRPr="007C33AE" w:rsidRDefault="00C465E6" w:rsidP="00C465E6">
            <w:pPr>
              <w:rPr>
                <w:lang w:val="fr-FR"/>
              </w:rPr>
            </w:pPr>
          </w:p>
        </w:tc>
      </w:tr>
      <w:tr w:rsidR="00C465E6" w:rsidRPr="00A118A6" w14:paraId="29F6A173" w14:textId="77777777" w:rsidTr="00C465E6">
        <w:tc>
          <w:tcPr>
            <w:tcW w:w="9826" w:type="dxa"/>
          </w:tcPr>
          <w:p w14:paraId="40BDB32B" w14:textId="77777777" w:rsidR="00C465E6" w:rsidRPr="007C33AE" w:rsidRDefault="00C465E6" w:rsidP="00C465E6">
            <w:pPr>
              <w:pStyle w:val="Einzug1"/>
              <w:rPr>
                <w:rFonts w:cs="Times New Roman"/>
                <w:szCs w:val="24"/>
              </w:rPr>
            </w:pPr>
            <w:r>
              <w:t>75.</w:t>
            </w:r>
            <w:r>
              <w:tab/>
              <w:t>A l'issue de la liquidation de la Société, les Commandites sont remboursées aux Commanditaires, pour autant que celles-ci ne sont pas utilisées pour la couverture d’engagements ou des coûts de liquidation de la Société.</w:t>
            </w:r>
          </w:p>
          <w:p w14:paraId="488F3C95" w14:textId="77777777" w:rsidR="00C465E6" w:rsidRDefault="00C465E6" w:rsidP="00C465E6">
            <w:pPr>
              <w:rPr>
                <w:rFonts w:cs="Times New Roman"/>
                <w:szCs w:val="24"/>
                <w:lang w:val="fr-FR"/>
              </w:rPr>
            </w:pPr>
          </w:p>
          <w:p w14:paraId="3A13F04E" w14:textId="77777777" w:rsidR="00C465E6" w:rsidRPr="007C33AE" w:rsidRDefault="00C465E6" w:rsidP="00C465E6">
            <w:pPr>
              <w:rPr>
                <w:rFonts w:cs="Times New Roman"/>
                <w:szCs w:val="24"/>
                <w:lang w:val="fr-FR"/>
              </w:rPr>
            </w:pPr>
          </w:p>
        </w:tc>
      </w:tr>
      <w:tr w:rsidR="00C465E6" w:rsidRPr="00A118A6" w14:paraId="3829A3A4" w14:textId="77777777" w:rsidTr="00C465E6">
        <w:tc>
          <w:tcPr>
            <w:tcW w:w="9826" w:type="dxa"/>
          </w:tcPr>
          <w:p w14:paraId="759C8CB2" w14:textId="516DEA3E" w:rsidR="00C465E6" w:rsidRPr="00F32791" w:rsidRDefault="00C465E6" w:rsidP="00C465E6">
            <w:pPr>
              <w:pStyle w:val="berschrift3"/>
            </w:pPr>
            <w:bookmarkStart w:id="33" w:name="_Toc94114411"/>
            <w:r>
              <w:t>C</w:t>
            </w:r>
            <w:r>
              <w:tab/>
              <w:t>Société d’audit et Organe de révision</w:t>
            </w:r>
            <w:bookmarkEnd w:id="33"/>
          </w:p>
          <w:p w14:paraId="11CE734A" w14:textId="77777777" w:rsidR="00C465E6" w:rsidRPr="007C33AE" w:rsidRDefault="00C465E6" w:rsidP="00C465E6">
            <w:pPr>
              <w:rPr>
                <w:lang w:val="fr-FR"/>
              </w:rPr>
            </w:pPr>
          </w:p>
        </w:tc>
      </w:tr>
      <w:tr w:rsidR="00C465E6" w:rsidRPr="00A118A6" w14:paraId="0C96DC5A" w14:textId="77777777" w:rsidTr="00C465E6">
        <w:tc>
          <w:tcPr>
            <w:tcW w:w="9826" w:type="dxa"/>
          </w:tcPr>
          <w:p w14:paraId="3077A88A" w14:textId="77777777" w:rsidR="00C465E6" w:rsidRPr="007C33AE" w:rsidRDefault="00C465E6" w:rsidP="00C465E6">
            <w:pPr>
              <w:pStyle w:val="Einzug1"/>
              <w:rPr>
                <w:rFonts w:cs="Times New Roman"/>
                <w:szCs w:val="24"/>
              </w:rPr>
            </w:pPr>
            <w:bookmarkStart w:id="34" w:name="_Ref149393658"/>
            <w:r>
              <w:t>76.</w:t>
            </w:r>
            <w:r>
              <w:tab/>
              <w:t>La Société d’audit est responsable de l’audit prudentiel conformément à l’article 126, al 1 LPCC et l’Organe de révision est chargé de la révision des comptes conformément à l’article 126, al. 5 LPCC. La Société d’audit et l’Organe de révision sont désignés la première fois lors de la fondation. Une éventuelle révocation et une nouvelle désignation relève de la compétence de l’Assemblée des associés. Les exigences envers la Société d’audit et l’Organe de révision sont visées à l’article 126 LPCC. La LPCC et ce contrat déterminent les tâches de la Société d’audit et de l’Organe de révision. Les fonctions de Société d’audit et d’Organe de révision peuvent être assurées par la même société, dans la mesure où celle-ci est conforme aux exigences applicables aux deux entités.</w:t>
            </w:r>
          </w:p>
          <w:bookmarkEnd w:id="34"/>
          <w:p w14:paraId="7989876D" w14:textId="77777777" w:rsidR="00C465E6" w:rsidRPr="007C33AE" w:rsidRDefault="00C465E6" w:rsidP="00C465E6">
            <w:pPr>
              <w:rPr>
                <w:rFonts w:cs="Times New Roman"/>
                <w:szCs w:val="24"/>
                <w:lang w:val="fr-FR"/>
              </w:rPr>
            </w:pPr>
          </w:p>
          <w:p w14:paraId="2C1D63E0" w14:textId="77777777" w:rsidR="00C465E6" w:rsidRPr="007C33AE" w:rsidRDefault="00C465E6" w:rsidP="00C465E6">
            <w:pPr>
              <w:rPr>
                <w:rFonts w:cs="Times New Roman"/>
                <w:szCs w:val="24"/>
                <w:lang w:val="fr-FR"/>
              </w:rPr>
            </w:pPr>
          </w:p>
          <w:p w14:paraId="7E8D44D7" w14:textId="77777777" w:rsidR="00C465E6" w:rsidRPr="007C33AE" w:rsidRDefault="00C465E6" w:rsidP="00C465E6">
            <w:pPr>
              <w:rPr>
                <w:rFonts w:cs="Times New Roman"/>
                <w:szCs w:val="24"/>
                <w:lang w:val="fr-FR"/>
              </w:rPr>
            </w:pPr>
          </w:p>
        </w:tc>
      </w:tr>
      <w:tr w:rsidR="00C465E6" w:rsidRPr="003A5A1F" w14:paraId="14E8A9BD" w14:textId="77777777" w:rsidTr="00C465E6">
        <w:tc>
          <w:tcPr>
            <w:tcW w:w="9826" w:type="dxa"/>
          </w:tcPr>
          <w:p w14:paraId="12902012" w14:textId="381F00E4" w:rsidR="00C465E6" w:rsidRPr="002A68CB" w:rsidRDefault="00C465E6" w:rsidP="003A465B">
            <w:pPr>
              <w:pStyle w:val="berschrift2"/>
              <w:pageBreakBefore/>
            </w:pPr>
            <w:bookmarkStart w:id="35" w:name="_Toc94114412"/>
            <w:r>
              <w:lastRenderedPageBreak/>
              <w:t>VIII</w:t>
            </w:r>
            <w:r>
              <w:tab/>
              <w:t>Divers</w:t>
            </w:r>
            <w:bookmarkEnd w:id="35"/>
          </w:p>
          <w:p w14:paraId="3E2B0EEF" w14:textId="77777777" w:rsidR="00C465E6" w:rsidRPr="007C33AE" w:rsidRDefault="00C465E6" w:rsidP="00C465E6">
            <w:pPr>
              <w:rPr>
                <w:lang w:val="fr-FR"/>
              </w:rPr>
            </w:pPr>
          </w:p>
        </w:tc>
      </w:tr>
      <w:tr w:rsidR="00C465E6" w:rsidRPr="003A5A1F" w14:paraId="6823F0DF" w14:textId="77777777" w:rsidTr="00C465E6">
        <w:tc>
          <w:tcPr>
            <w:tcW w:w="9826" w:type="dxa"/>
          </w:tcPr>
          <w:p w14:paraId="3CC47301" w14:textId="61CC1068" w:rsidR="00C465E6" w:rsidRPr="007C33AE" w:rsidRDefault="00C465E6" w:rsidP="00C465E6">
            <w:pPr>
              <w:pStyle w:val="berschrift3"/>
            </w:pPr>
            <w:bookmarkStart w:id="36" w:name="_Toc94114413"/>
            <w:r>
              <w:t>A</w:t>
            </w:r>
            <w:r>
              <w:tab/>
              <w:t>Dissolution</w:t>
            </w:r>
            <w:bookmarkEnd w:id="36"/>
          </w:p>
          <w:p w14:paraId="577CC1CE" w14:textId="77777777" w:rsidR="00C465E6" w:rsidRPr="007C33AE" w:rsidRDefault="00C465E6" w:rsidP="00C465E6">
            <w:pPr>
              <w:rPr>
                <w:lang w:val="fr-FR"/>
              </w:rPr>
            </w:pPr>
          </w:p>
        </w:tc>
      </w:tr>
      <w:tr w:rsidR="00C465E6" w:rsidRPr="003A5A1F" w14:paraId="449C4995" w14:textId="77777777" w:rsidTr="00C465E6">
        <w:tc>
          <w:tcPr>
            <w:tcW w:w="9826" w:type="dxa"/>
          </w:tcPr>
          <w:p w14:paraId="45DC9093" w14:textId="77777777" w:rsidR="00C465E6" w:rsidRPr="007C33AE" w:rsidRDefault="00C465E6" w:rsidP="00C465E6">
            <w:pPr>
              <w:pStyle w:val="Einzug1"/>
              <w:rPr>
                <w:rFonts w:cs="Times New Roman"/>
                <w:szCs w:val="24"/>
              </w:rPr>
            </w:pPr>
            <w:r>
              <w:t>77.</w:t>
            </w:r>
            <w:r>
              <w:tab/>
              <w:t xml:space="preserve">La Société est </w:t>
            </w:r>
            <w:proofErr w:type="gramStart"/>
            <w:r>
              <w:t>dissoute:</w:t>
            </w:r>
            <w:proofErr w:type="gramEnd"/>
          </w:p>
          <w:p w14:paraId="39A33104" w14:textId="77777777" w:rsidR="00C465E6" w:rsidRPr="007C33AE" w:rsidRDefault="00C465E6" w:rsidP="00C465E6">
            <w:pPr>
              <w:rPr>
                <w:lang w:val="fr-FR"/>
              </w:rPr>
            </w:pPr>
          </w:p>
        </w:tc>
      </w:tr>
      <w:tr w:rsidR="00C465E6" w:rsidRPr="00A118A6" w14:paraId="690AB133" w14:textId="77777777" w:rsidTr="00C465E6">
        <w:tc>
          <w:tcPr>
            <w:tcW w:w="9826" w:type="dxa"/>
          </w:tcPr>
          <w:p w14:paraId="76E5034A" w14:textId="4ABC32A8" w:rsidR="00C465E6" w:rsidRDefault="00C465E6" w:rsidP="003A465B">
            <w:pPr>
              <w:pStyle w:val="Einzug2"/>
              <w:numPr>
                <w:ilvl w:val="0"/>
                <w:numId w:val="14"/>
              </w:numPr>
            </w:pPr>
            <w:proofErr w:type="gramStart"/>
            <w:r>
              <w:t>si</w:t>
            </w:r>
            <w:proofErr w:type="gramEnd"/>
            <w:r>
              <w:t xml:space="preserve"> le nombre minimum de deux Commanditaires exigé par la LPCC n’est pas atteint durant le délai de souscription;</w:t>
            </w:r>
          </w:p>
          <w:p w14:paraId="3ABFBEE2" w14:textId="6676CEB6" w:rsidR="003A465B" w:rsidRPr="003A465B" w:rsidRDefault="003A465B" w:rsidP="003A465B"/>
        </w:tc>
      </w:tr>
      <w:tr w:rsidR="00C465E6" w:rsidRPr="00A118A6" w14:paraId="70BCF6D6" w14:textId="77777777" w:rsidTr="00C465E6">
        <w:tc>
          <w:tcPr>
            <w:tcW w:w="9826" w:type="dxa"/>
          </w:tcPr>
          <w:p w14:paraId="5A3CEE35" w14:textId="77777777" w:rsidR="00C465E6" w:rsidRPr="007C33AE" w:rsidRDefault="00C465E6" w:rsidP="003A465B">
            <w:pPr>
              <w:pStyle w:val="Einzug2"/>
              <w:rPr>
                <w:rFonts w:cs="Times New Roman"/>
                <w:szCs w:val="24"/>
              </w:rPr>
            </w:pPr>
            <w:r>
              <w:t>b)</w:t>
            </w:r>
            <w:r>
              <w:tab/>
              <w:t xml:space="preserve">à l’expiration de la durée de la Société, après les éventuelles prolongations décidées conformément au présent </w:t>
            </w:r>
            <w:proofErr w:type="gramStart"/>
            <w:r>
              <w:t>contrat;</w:t>
            </w:r>
            <w:proofErr w:type="gramEnd"/>
          </w:p>
          <w:p w14:paraId="6E8B4AAE" w14:textId="77777777" w:rsidR="00C465E6" w:rsidRPr="007C33AE" w:rsidRDefault="00C465E6" w:rsidP="00C465E6">
            <w:pPr>
              <w:rPr>
                <w:lang w:val="fr-FR"/>
              </w:rPr>
            </w:pPr>
          </w:p>
        </w:tc>
      </w:tr>
      <w:tr w:rsidR="00C465E6" w:rsidRPr="00A118A6" w14:paraId="03307E2E" w14:textId="77777777" w:rsidTr="00C465E6">
        <w:tc>
          <w:tcPr>
            <w:tcW w:w="9826" w:type="dxa"/>
          </w:tcPr>
          <w:p w14:paraId="1C5652E0" w14:textId="77777777" w:rsidR="00C465E6" w:rsidRPr="007C33AE" w:rsidRDefault="00C465E6" w:rsidP="00C465E6">
            <w:pPr>
              <w:pStyle w:val="Einzug2"/>
              <w:rPr>
                <w:rFonts w:cs="Times New Roman"/>
                <w:szCs w:val="24"/>
              </w:rPr>
            </w:pPr>
            <w:r>
              <w:t>c)</w:t>
            </w:r>
            <w:r>
              <w:tab/>
              <w:t>sur décision des Commanditaires (chiffre 40, let. </w:t>
            </w:r>
            <w:proofErr w:type="gramStart"/>
            <w:r>
              <w:t>e</w:t>
            </w:r>
            <w:proofErr w:type="gramEnd"/>
            <w:r>
              <w:t>);</w:t>
            </w:r>
          </w:p>
          <w:p w14:paraId="36B61AD7" w14:textId="77777777" w:rsidR="00C465E6" w:rsidRPr="007C33AE" w:rsidRDefault="00C465E6" w:rsidP="00C465E6">
            <w:pPr>
              <w:rPr>
                <w:lang w:val="fr-FR"/>
              </w:rPr>
            </w:pPr>
          </w:p>
        </w:tc>
      </w:tr>
      <w:tr w:rsidR="00C465E6" w:rsidRPr="00A118A6" w14:paraId="6C5AF605" w14:textId="77777777" w:rsidTr="00C465E6">
        <w:tc>
          <w:tcPr>
            <w:tcW w:w="9826" w:type="dxa"/>
          </w:tcPr>
          <w:p w14:paraId="7665568A" w14:textId="77777777" w:rsidR="00C465E6" w:rsidRPr="007C33AE" w:rsidRDefault="00C465E6" w:rsidP="00C465E6">
            <w:pPr>
              <w:pStyle w:val="Einzug2"/>
              <w:rPr>
                <w:rFonts w:cs="Times New Roman"/>
                <w:szCs w:val="24"/>
              </w:rPr>
            </w:pPr>
            <w:r>
              <w:t>d)</w:t>
            </w:r>
            <w:r>
              <w:tab/>
              <w:t>sur décision des autorités compétentes.</w:t>
            </w:r>
          </w:p>
          <w:p w14:paraId="28B5F64E" w14:textId="77777777" w:rsidR="00C465E6" w:rsidRPr="007C33AE" w:rsidRDefault="00C465E6" w:rsidP="00C465E6">
            <w:pPr>
              <w:rPr>
                <w:rFonts w:cs="Times New Roman"/>
                <w:szCs w:val="24"/>
                <w:lang w:val="fr-FR"/>
              </w:rPr>
            </w:pPr>
          </w:p>
          <w:p w14:paraId="67B6D6CA" w14:textId="77777777" w:rsidR="00C465E6" w:rsidRPr="007C33AE" w:rsidRDefault="00C465E6" w:rsidP="00C465E6">
            <w:pPr>
              <w:rPr>
                <w:rFonts w:cs="Times New Roman"/>
                <w:szCs w:val="24"/>
                <w:lang w:val="fr-FR"/>
              </w:rPr>
            </w:pPr>
          </w:p>
        </w:tc>
      </w:tr>
      <w:tr w:rsidR="00C465E6" w:rsidRPr="003A5A1F" w14:paraId="3671A8C7" w14:textId="77777777" w:rsidTr="00C465E6">
        <w:tc>
          <w:tcPr>
            <w:tcW w:w="9826" w:type="dxa"/>
          </w:tcPr>
          <w:p w14:paraId="789D1A92" w14:textId="1426EC00" w:rsidR="00C465E6" w:rsidRPr="007C33AE" w:rsidRDefault="00C465E6" w:rsidP="00C465E6">
            <w:pPr>
              <w:pStyle w:val="berschrift3"/>
            </w:pPr>
            <w:bookmarkStart w:id="37" w:name="_Toc94114414"/>
            <w:r>
              <w:t>B</w:t>
            </w:r>
            <w:r>
              <w:tab/>
              <w:t>Communications</w:t>
            </w:r>
            <w:bookmarkEnd w:id="37"/>
          </w:p>
          <w:p w14:paraId="3E113D83" w14:textId="77777777" w:rsidR="00C465E6" w:rsidRPr="007C33AE" w:rsidRDefault="00C465E6" w:rsidP="00C465E6">
            <w:pPr>
              <w:rPr>
                <w:lang w:val="fr-FR"/>
              </w:rPr>
            </w:pPr>
          </w:p>
        </w:tc>
      </w:tr>
      <w:tr w:rsidR="00C465E6" w:rsidRPr="00A118A6" w14:paraId="617499E7" w14:textId="77777777" w:rsidTr="00C465E6">
        <w:tc>
          <w:tcPr>
            <w:tcW w:w="9826" w:type="dxa"/>
          </w:tcPr>
          <w:p w14:paraId="41649A22" w14:textId="77777777" w:rsidR="00C465E6" w:rsidRPr="007C33AE" w:rsidRDefault="00C465E6" w:rsidP="00C465E6">
            <w:pPr>
              <w:pStyle w:val="Einzug1"/>
              <w:rPr>
                <w:rFonts w:cs="Times New Roman"/>
                <w:szCs w:val="24"/>
              </w:rPr>
            </w:pPr>
            <w:r>
              <w:t>78.</w:t>
            </w:r>
            <w:r>
              <w:tab/>
              <w:t>Les communications aux Commanditaires et à la SA indéfiniment responsable s’effectuent sous la forme écrite, par fax ou par courriel. La charge de la preuve s’agissant de l’envoi et de la réception de communications repose sur l’expéditeur.</w:t>
            </w:r>
          </w:p>
          <w:p w14:paraId="4B79DAE6" w14:textId="77777777" w:rsidR="00C465E6" w:rsidRPr="007C33AE" w:rsidRDefault="00C465E6" w:rsidP="00C465E6">
            <w:pPr>
              <w:rPr>
                <w:rFonts w:cs="Times New Roman"/>
                <w:szCs w:val="24"/>
                <w:lang w:val="fr-FR"/>
              </w:rPr>
            </w:pPr>
          </w:p>
          <w:p w14:paraId="1CCF8D83" w14:textId="77777777" w:rsidR="00C465E6" w:rsidRPr="007C33AE" w:rsidRDefault="00C465E6" w:rsidP="00C465E6">
            <w:pPr>
              <w:rPr>
                <w:rFonts w:cs="Times New Roman"/>
                <w:szCs w:val="24"/>
                <w:lang w:val="fr-FR"/>
              </w:rPr>
            </w:pPr>
          </w:p>
        </w:tc>
      </w:tr>
      <w:tr w:rsidR="00C465E6" w:rsidRPr="003A5A1F" w14:paraId="398DC9F8" w14:textId="77777777" w:rsidTr="00C465E6">
        <w:tc>
          <w:tcPr>
            <w:tcW w:w="9826" w:type="dxa"/>
          </w:tcPr>
          <w:p w14:paraId="51411F6A" w14:textId="02BAF7E1" w:rsidR="00C465E6" w:rsidRPr="007C33AE" w:rsidRDefault="00C465E6" w:rsidP="00C465E6">
            <w:pPr>
              <w:pStyle w:val="berschrift3"/>
            </w:pPr>
            <w:bookmarkStart w:id="38" w:name="_Toc94114415"/>
            <w:r>
              <w:t>C</w:t>
            </w:r>
            <w:r>
              <w:tab/>
              <w:t>Arbitrage</w:t>
            </w:r>
            <w:bookmarkEnd w:id="38"/>
          </w:p>
          <w:p w14:paraId="4A5EFFF2" w14:textId="77777777" w:rsidR="00C465E6" w:rsidRPr="007C33AE" w:rsidRDefault="00C465E6" w:rsidP="00C465E6">
            <w:pPr>
              <w:rPr>
                <w:lang w:val="fr-FR"/>
              </w:rPr>
            </w:pPr>
          </w:p>
        </w:tc>
      </w:tr>
      <w:tr w:rsidR="00C465E6" w:rsidRPr="00A118A6" w14:paraId="35465050" w14:textId="77777777" w:rsidTr="00C465E6">
        <w:tc>
          <w:tcPr>
            <w:tcW w:w="9826" w:type="dxa"/>
          </w:tcPr>
          <w:p w14:paraId="0F8A0DE2" w14:textId="77777777" w:rsidR="00C465E6" w:rsidRPr="007C33AE" w:rsidRDefault="00C465E6" w:rsidP="00C465E6">
            <w:pPr>
              <w:pStyle w:val="Einzug1"/>
              <w:rPr>
                <w:rFonts w:cs="Times New Roman"/>
              </w:rPr>
            </w:pPr>
            <w:r>
              <w:t>79.</w:t>
            </w:r>
            <w:r>
              <w:tab/>
              <w:t>Tous litiges, différends ou prétentions nés du présent contrat ou se rapportant à celui-ci, y compris la validité, la nullité, d’éventuelles violation ou la résiliation du contrat, seront tranchés par voie d’arbitrage conformément au Règlement suisse d’arbitrage international des Chambres de commerce suisses en vigueur à la date à laquelle la notification d’arbitrage est déposée conformément à ce Règlement.</w:t>
            </w:r>
          </w:p>
          <w:p w14:paraId="3E4341F6" w14:textId="77777777" w:rsidR="00C465E6" w:rsidRPr="007C33AE" w:rsidRDefault="00C465E6" w:rsidP="00C465E6">
            <w:pPr>
              <w:pStyle w:val="Einzug1"/>
              <w:rPr>
                <w:rFonts w:cs="Times New Roman"/>
                <w:szCs w:val="24"/>
                <w:lang w:val="fr-FR"/>
              </w:rPr>
            </w:pPr>
          </w:p>
        </w:tc>
      </w:tr>
      <w:tr w:rsidR="00C465E6" w:rsidRPr="003A5A1F" w14:paraId="0A84FE18" w14:textId="77777777" w:rsidTr="00C465E6">
        <w:tc>
          <w:tcPr>
            <w:tcW w:w="9826" w:type="dxa"/>
          </w:tcPr>
          <w:p w14:paraId="6583CDA6" w14:textId="77777777" w:rsidR="00C465E6" w:rsidRPr="007C33AE" w:rsidRDefault="00C465E6" w:rsidP="00C465E6">
            <w:pPr>
              <w:pStyle w:val="Einzug1"/>
              <w:rPr>
                <w:rFonts w:cs="Times New Roman"/>
              </w:rPr>
            </w:pPr>
            <w:r>
              <w:t>80.</w:t>
            </w:r>
            <w:r>
              <w:tab/>
              <w:t xml:space="preserve">Le nombre d’arbitres est fixé à trois. Le siège de l’arbitrage sera </w:t>
            </w:r>
            <w:r>
              <w:rPr>
                <w:color w:val="FF0000"/>
              </w:rPr>
              <w:t>[</w:t>
            </w:r>
            <w:r>
              <w:rPr>
                <w:color w:val="FF0000"/>
                <w:highlight w:val="yellow"/>
              </w:rPr>
              <w:t>lieu</w:t>
            </w:r>
            <w:r>
              <w:rPr>
                <w:color w:val="FF0000"/>
              </w:rPr>
              <w:t>]</w:t>
            </w:r>
            <w:r>
              <w:t xml:space="preserve">. L’arbitrage se déroulera en </w:t>
            </w:r>
            <w:r>
              <w:rPr>
                <w:rStyle w:val="AuswahltextZchn1"/>
              </w:rPr>
              <w:t>[</w:t>
            </w:r>
            <w:r>
              <w:rPr>
                <w:rStyle w:val="AuswahltextZchn1"/>
                <w:highlight w:val="yellow"/>
              </w:rPr>
              <w:t>français</w:t>
            </w:r>
            <w:r>
              <w:rPr>
                <w:rStyle w:val="AuswahltextZchn1"/>
              </w:rPr>
              <w:t>]</w:t>
            </w:r>
            <w:r>
              <w:t>.</w:t>
            </w:r>
          </w:p>
          <w:p w14:paraId="0C75492D" w14:textId="77777777" w:rsidR="00C465E6" w:rsidRPr="007C33AE" w:rsidRDefault="00C465E6" w:rsidP="00C465E6">
            <w:pPr>
              <w:pStyle w:val="Einzug1"/>
              <w:rPr>
                <w:rFonts w:cs="Times New Roman"/>
                <w:szCs w:val="24"/>
                <w:lang w:val="fr-FR"/>
              </w:rPr>
            </w:pPr>
          </w:p>
        </w:tc>
      </w:tr>
      <w:tr w:rsidR="00C465E6" w:rsidRPr="00A118A6" w14:paraId="450250C1" w14:textId="77777777" w:rsidTr="00C465E6">
        <w:tc>
          <w:tcPr>
            <w:tcW w:w="9826" w:type="dxa"/>
          </w:tcPr>
          <w:p w14:paraId="2B14A1C8" w14:textId="77777777" w:rsidR="00C465E6" w:rsidRPr="007C33AE" w:rsidRDefault="00C465E6" w:rsidP="00C465E6">
            <w:pPr>
              <w:ind w:left="709" w:hanging="709"/>
              <w:rPr>
                <w:rFonts w:cs="Times New Roman"/>
                <w:szCs w:val="24"/>
              </w:rPr>
            </w:pPr>
            <w:r>
              <w:t>81.</w:t>
            </w:r>
            <w:r>
              <w:tab/>
              <w:t>Les droits de l’investisseur et les compétences de l’autorité de surveillance selon la LPCC demeurent réservés.</w:t>
            </w:r>
          </w:p>
          <w:p w14:paraId="518F3EEF" w14:textId="77777777" w:rsidR="00C465E6" w:rsidRPr="007C33AE" w:rsidRDefault="00C465E6" w:rsidP="00C465E6">
            <w:pPr>
              <w:rPr>
                <w:rFonts w:cs="Times New Roman"/>
                <w:szCs w:val="24"/>
                <w:lang w:val="fr-FR"/>
              </w:rPr>
            </w:pPr>
          </w:p>
          <w:p w14:paraId="7F6E4963" w14:textId="77777777" w:rsidR="00C465E6" w:rsidRPr="007C33AE" w:rsidRDefault="00C465E6" w:rsidP="00C465E6">
            <w:pPr>
              <w:rPr>
                <w:rFonts w:cs="Times New Roman"/>
                <w:szCs w:val="24"/>
                <w:lang w:val="fr-FR"/>
              </w:rPr>
            </w:pPr>
          </w:p>
        </w:tc>
      </w:tr>
      <w:tr w:rsidR="00C465E6" w:rsidRPr="003A5A1F" w14:paraId="64740F41" w14:textId="77777777" w:rsidTr="00C465E6">
        <w:tc>
          <w:tcPr>
            <w:tcW w:w="9826" w:type="dxa"/>
          </w:tcPr>
          <w:p w14:paraId="04E0C446" w14:textId="512146CD" w:rsidR="00C465E6" w:rsidRPr="002A68CB" w:rsidRDefault="00C465E6" w:rsidP="00C465E6">
            <w:pPr>
              <w:pStyle w:val="berschrift3"/>
            </w:pPr>
            <w:bookmarkStart w:id="39" w:name="_Toc94114416"/>
            <w:r>
              <w:t>D</w:t>
            </w:r>
            <w:r>
              <w:tab/>
              <w:t>Entrée en vigueur</w:t>
            </w:r>
            <w:bookmarkEnd w:id="39"/>
          </w:p>
          <w:p w14:paraId="3DD661D5" w14:textId="77777777" w:rsidR="00C465E6" w:rsidRPr="007C33AE" w:rsidRDefault="00C465E6" w:rsidP="00C465E6">
            <w:pPr>
              <w:rPr>
                <w:lang w:val="fr-FR"/>
              </w:rPr>
            </w:pPr>
          </w:p>
        </w:tc>
      </w:tr>
      <w:tr w:rsidR="00C465E6" w:rsidRPr="00A118A6" w14:paraId="7441089E" w14:textId="77777777" w:rsidTr="00C465E6">
        <w:tc>
          <w:tcPr>
            <w:tcW w:w="9826" w:type="dxa"/>
          </w:tcPr>
          <w:p w14:paraId="537A1983" w14:textId="77777777" w:rsidR="00C465E6" w:rsidRPr="007C33AE" w:rsidRDefault="00C465E6" w:rsidP="00C465E6">
            <w:pPr>
              <w:pStyle w:val="Einzug1"/>
              <w:rPr>
                <w:rFonts w:cs="Times New Roman"/>
                <w:szCs w:val="24"/>
              </w:rPr>
            </w:pPr>
            <w:r>
              <w:t>82.</w:t>
            </w:r>
            <w:r>
              <w:tab/>
              <w:t>Ce contrat entre en vigueur avec la délivrance de l’autorisation par la FINMA et l’inscription subséquente de la Société dans un Registre du commerce suisse.</w:t>
            </w:r>
          </w:p>
          <w:p w14:paraId="0E319BD2" w14:textId="77777777" w:rsidR="00C465E6" w:rsidRDefault="00C465E6" w:rsidP="00C465E6">
            <w:pPr>
              <w:rPr>
                <w:rFonts w:cs="Times New Roman"/>
                <w:szCs w:val="24"/>
                <w:lang w:val="fr-FR"/>
              </w:rPr>
            </w:pPr>
          </w:p>
          <w:p w14:paraId="203389FA" w14:textId="77777777" w:rsidR="00C465E6" w:rsidRPr="007C33AE" w:rsidRDefault="00C465E6" w:rsidP="00C465E6">
            <w:pPr>
              <w:rPr>
                <w:rFonts w:cs="Times New Roman"/>
                <w:szCs w:val="24"/>
                <w:lang w:val="fr-FR"/>
              </w:rPr>
            </w:pPr>
          </w:p>
        </w:tc>
      </w:tr>
      <w:tr w:rsidR="00C465E6" w:rsidRPr="003A5A1F" w14:paraId="197E7A57" w14:textId="77777777" w:rsidTr="00C465E6">
        <w:tc>
          <w:tcPr>
            <w:tcW w:w="9826" w:type="dxa"/>
          </w:tcPr>
          <w:p w14:paraId="7DF49C91" w14:textId="77777777" w:rsidR="00C465E6" w:rsidRPr="007C33AE" w:rsidRDefault="00C465E6" w:rsidP="00C465E6">
            <w:r>
              <w:t xml:space="preserve">Lieu, date / </w:t>
            </w:r>
            <w:proofErr w:type="gramStart"/>
            <w:r>
              <w:t>signatures:</w:t>
            </w:r>
            <w:proofErr w:type="gramEnd"/>
            <w:r>
              <w:t xml:space="preserve"> </w:t>
            </w:r>
            <w:r>
              <w:rPr>
                <w:rStyle w:val="AuswahltextZchn"/>
              </w:rPr>
              <w:t>[</w:t>
            </w:r>
            <w:r>
              <w:rPr>
                <w:rStyle w:val="AuswahltextZchn"/>
                <w:highlight w:val="yellow"/>
              </w:rPr>
              <w:t>…</w:t>
            </w:r>
            <w:r>
              <w:rPr>
                <w:rStyle w:val="AuswahltextZchn"/>
              </w:rPr>
              <w:t>]</w:t>
            </w:r>
          </w:p>
          <w:p w14:paraId="2C275A97" w14:textId="77777777" w:rsidR="00C465E6" w:rsidRPr="007C33AE" w:rsidRDefault="00C465E6" w:rsidP="00C465E6">
            <w:pPr>
              <w:rPr>
                <w:rFonts w:cs="Times New Roman"/>
                <w:szCs w:val="24"/>
                <w:lang w:val="fr-FR"/>
              </w:rPr>
            </w:pPr>
          </w:p>
          <w:p w14:paraId="7CCB2CB1" w14:textId="77777777" w:rsidR="00C465E6" w:rsidRPr="007C33AE" w:rsidRDefault="00C465E6" w:rsidP="00C465E6">
            <w:pPr>
              <w:rPr>
                <w:rFonts w:cs="Times New Roman"/>
                <w:szCs w:val="24"/>
                <w:lang w:val="fr-FR"/>
              </w:rPr>
            </w:pPr>
          </w:p>
        </w:tc>
      </w:tr>
      <w:tr w:rsidR="00C465E6" w:rsidRPr="003A5A1F" w14:paraId="3CFC3DCD" w14:textId="77777777" w:rsidTr="00C465E6">
        <w:tc>
          <w:tcPr>
            <w:tcW w:w="9826" w:type="dxa"/>
          </w:tcPr>
          <w:p w14:paraId="24280EC9" w14:textId="60718E26" w:rsidR="00C465E6" w:rsidRPr="007C33AE" w:rsidRDefault="00C465E6" w:rsidP="00C465E6">
            <w:pPr>
              <w:pStyle w:val="berschrift2"/>
              <w:pageBreakBefore/>
              <w:rPr>
                <w:rFonts w:cs="Times New Roman"/>
                <w:bCs/>
                <w:iCs/>
                <w:szCs w:val="24"/>
              </w:rPr>
            </w:pPr>
            <w:bookmarkStart w:id="40" w:name="_Toc94114417"/>
            <w:r>
              <w:lastRenderedPageBreak/>
              <w:t>Annexes</w:t>
            </w:r>
            <w:bookmarkEnd w:id="40"/>
          </w:p>
          <w:p w14:paraId="2FCBEAD2" w14:textId="77777777" w:rsidR="00C465E6" w:rsidRPr="007C33AE" w:rsidRDefault="00C465E6" w:rsidP="00C465E6">
            <w:pPr>
              <w:rPr>
                <w:lang w:val="fr-FR"/>
              </w:rPr>
            </w:pPr>
          </w:p>
        </w:tc>
      </w:tr>
      <w:tr w:rsidR="00C465E6" w:rsidRPr="003A5A1F" w14:paraId="35324BD2" w14:textId="77777777" w:rsidTr="00C465E6">
        <w:tc>
          <w:tcPr>
            <w:tcW w:w="9826" w:type="dxa"/>
          </w:tcPr>
          <w:p w14:paraId="33DBAE33" w14:textId="36CFC52F" w:rsidR="00C465E6" w:rsidRPr="007C33AE" w:rsidRDefault="00C465E6" w:rsidP="00C465E6">
            <w:pPr>
              <w:pStyle w:val="berschrift3"/>
            </w:pPr>
            <w:bookmarkStart w:id="41" w:name="_Toc94114418"/>
            <w:r>
              <w:t>Bulletin de souscription</w:t>
            </w:r>
            <w:bookmarkEnd w:id="41"/>
          </w:p>
          <w:p w14:paraId="0DB6B45F" w14:textId="77777777" w:rsidR="00C465E6" w:rsidRPr="007C33AE" w:rsidRDefault="00C465E6" w:rsidP="00C465E6">
            <w:pPr>
              <w:rPr>
                <w:lang w:val="fr-FR"/>
              </w:rPr>
            </w:pPr>
          </w:p>
        </w:tc>
      </w:tr>
      <w:tr w:rsidR="00C465E6" w:rsidRPr="00A53BDB" w14:paraId="120D056E" w14:textId="77777777" w:rsidTr="00C465E6">
        <w:tc>
          <w:tcPr>
            <w:tcW w:w="9826" w:type="dxa"/>
          </w:tcPr>
          <w:p w14:paraId="5296318E" w14:textId="6222B80A" w:rsidR="00A53BDB" w:rsidRPr="00A53BDB" w:rsidRDefault="00A53BDB" w:rsidP="00A53BDB">
            <w:pPr>
              <w:pStyle w:val="Auswahltext"/>
              <w:rPr>
                <w:rFonts w:cs="Times New Roman"/>
                <w:szCs w:val="24"/>
                <w:highlight w:val="yellow"/>
              </w:rPr>
            </w:pPr>
            <w:r>
              <w:rPr>
                <w:highlight w:val="yellow"/>
              </w:rPr>
              <w:t>[... contient entre autres les dispositions d’identification conformément aux principes KYC, les exigences de nationalité (résidents US) et les critères fixés à l’article 10, al. 3 et 3</w:t>
            </w:r>
            <w:r>
              <w:rPr>
                <w:highlight w:val="yellow"/>
                <w:vertAlign w:val="superscript"/>
              </w:rPr>
              <w:t>ter</w:t>
            </w:r>
            <w:r>
              <w:rPr>
                <w:highlight w:val="yellow"/>
              </w:rPr>
              <w:t> LPCC.]</w:t>
            </w:r>
          </w:p>
          <w:p w14:paraId="6922316F" w14:textId="77777777" w:rsidR="00C465E6" w:rsidRPr="00A53BDB" w:rsidRDefault="00C465E6" w:rsidP="00C465E6"/>
          <w:p w14:paraId="5FCF6170" w14:textId="77777777" w:rsidR="00C465E6" w:rsidRPr="009E45AE" w:rsidRDefault="00C465E6" w:rsidP="00C465E6"/>
          <w:p w14:paraId="31D9F807" w14:textId="77777777" w:rsidR="00C465E6" w:rsidRPr="009E45AE" w:rsidRDefault="00C465E6" w:rsidP="00C465E6"/>
        </w:tc>
      </w:tr>
      <w:tr w:rsidR="00C465E6" w:rsidRPr="003A5A1F" w14:paraId="4FF63693" w14:textId="77777777" w:rsidTr="00C465E6">
        <w:tc>
          <w:tcPr>
            <w:tcW w:w="9826" w:type="dxa"/>
          </w:tcPr>
          <w:p w14:paraId="1895FB1F" w14:textId="043F6F80" w:rsidR="00C465E6" w:rsidRPr="007C33AE" w:rsidRDefault="00C465E6" w:rsidP="00C465E6">
            <w:pPr>
              <w:pStyle w:val="berschrift3"/>
              <w:rPr>
                <w:rFonts w:cs="Times New Roman"/>
                <w:bCs w:val="0"/>
                <w:color w:val="FF0000"/>
                <w:szCs w:val="24"/>
              </w:rPr>
            </w:pPr>
            <w:bookmarkStart w:id="42" w:name="_Toc94114419"/>
            <w:r>
              <w:rPr>
                <w:color w:val="FF0000"/>
                <w:highlight w:val="yellow"/>
              </w:rPr>
              <w:t>[Définitions]</w:t>
            </w:r>
            <w:bookmarkEnd w:id="42"/>
          </w:p>
          <w:p w14:paraId="4CCF838B" w14:textId="77777777" w:rsidR="00C465E6" w:rsidRPr="007C33AE" w:rsidRDefault="00C465E6" w:rsidP="00C465E6">
            <w:pPr>
              <w:rPr>
                <w:lang w:val="fr-FR"/>
              </w:rPr>
            </w:pPr>
          </w:p>
        </w:tc>
      </w:tr>
      <w:tr w:rsidR="00C465E6" w:rsidRPr="00F32791" w14:paraId="4F7E5F7C" w14:textId="77777777" w:rsidTr="00C465E6">
        <w:tc>
          <w:tcPr>
            <w:tcW w:w="9826" w:type="dxa"/>
          </w:tcPr>
          <w:p w14:paraId="33987F64" w14:textId="77777777" w:rsidR="00C465E6" w:rsidRPr="007C33AE" w:rsidRDefault="00C465E6" w:rsidP="00C465E6">
            <w:pPr>
              <w:rPr>
                <w:rFonts w:cs="Times New Roman"/>
                <w:szCs w:val="24"/>
              </w:rPr>
            </w:pPr>
            <w:r>
              <w:t>Assemblée des associés</w:t>
            </w:r>
          </w:p>
          <w:p w14:paraId="7C5BFEEF" w14:textId="77777777" w:rsidR="00C465E6" w:rsidRPr="007C33AE" w:rsidRDefault="00C465E6" w:rsidP="00C465E6">
            <w:pPr>
              <w:rPr>
                <w:rFonts w:cs="Times New Roman"/>
                <w:szCs w:val="24"/>
              </w:rPr>
            </w:pPr>
            <w:r>
              <w:t>Bulletin de souscription</w:t>
            </w:r>
          </w:p>
          <w:p w14:paraId="70500E55" w14:textId="77777777" w:rsidR="00C465E6" w:rsidRPr="007C33AE" w:rsidRDefault="00C465E6" w:rsidP="00C465E6">
            <w:pPr>
              <w:rPr>
                <w:rFonts w:cs="Times New Roman"/>
                <w:szCs w:val="24"/>
              </w:rPr>
            </w:pPr>
            <w:r>
              <w:t>CO</w:t>
            </w:r>
          </w:p>
          <w:p w14:paraId="4A42C84B" w14:textId="77777777" w:rsidR="00C465E6" w:rsidRPr="007C33AE" w:rsidRDefault="00C465E6" w:rsidP="00C465E6">
            <w:pPr>
              <w:rPr>
                <w:rFonts w:cs="Times New Roman"/>
                <w:szCs w:val="24"/>
              </w:rPr>
            </w:pPr>
            <w:r>
              <w:t>Co-Investments</w:t>
            </w:r>
          </w:p>
          <w:p w14:paraId="7F0AB0FF" w14:textId="77777777" w:rsidR="00C465E6" w:rsidRPr="007C33AE" w:rsidRDefault="00C465E6" w:rsidP="00C465E6">
            <w:pPr>
              <w:rPr>
                <w:rFonts w:cs="Times New Roman"/>
                <w:szCs w:val="24"/>
              </w:rPr>
            </w:pPr>
            <w:r>
              <w:t>Commanditaires</w:t>
            </w:r>
          </w:p>
          <w:p w14:paraId="583518FA" w14:textId="77777777" w:rsidR="00C465E6" w:rsidRPr="007C33AE" w:rsidRDefault="00C465E6" w:rsidP="00C465E6">
            <w:pPr>
              <w:rPr>
                <w:rFonts w:cs="Times New Roman"/>
                <w:szCs w:val="24"/>
              </w:rPr>
            </w:pPr>
            <w:r>
              <w:t>Commanditaires Promoteurs, Commandites de Promoteur</w:t>
            </w:r>
          </w:p>
          <w:p w14:paraId="080C0FDB" w14:textId="77777777" w:rsidR="00C465E6" w:rsidRPr="007C33AE" w:rsidRDefault="00C465E6" w:rsidP="00C465E6">
            <w:pPr>
              <w:rPr>
                <w:rFonts w:cs="Times New Roman"/>
                <w:szCs w:val="24"/>
              </w:rPr>
            </w:pPr>
            <w:r>
              <w:t>Commandites</w:t>
            </w:r>
          </w:p>
          <w:p w14:paraId="51C900A6" w14:textId="77777777" w:rsidR="00C465E6" w:rsidRPr="007C33AE" w:rsidRDefault="00C465E6" w:rsidP="00C465E6">
            <w:pPr>
              <w:rPr>
                <w:rFonts w:cs="Times New Roman"/>
                <w:szCs w:val="24"/>
              </w:rPr>
            </w:pPr>
            <w:r>
              <w:t>Délai de souscription</w:t>
            </w:r>
          </w:p>
          <w:p w14:paraId="272AD412" w14:textId="77777777" w:rsidR="00C465E6" w:rsidRPr="007C33AE" w:rsidRDefault="00C465E6" w:rsidP="00C465E6">
            <w:pPr>
              <w:rPr>
                <w:rFonts w:cs="Times New Roman"/>
                <w:szCs w:val="24"/>
              </w:rPr>
            </w:pPr>
            <w:r>
              <w:t>LPCC</w:t>
            </w:r>
          </w:p>
          <w:p w14:paraId="3116825E" w14:textId="77777777" w:rsidR="00C465E6" w:rsidRPr="007C33AE" w:rsidRDefault="00C465E6" w:rsidP="00C465E6">
            <w:pPr>
              <w:rPr>
                <w:rFonts w:cs="Times New Roman"/>
                <w:szCs w:val="24"/>
              </w:rPr>
            </w:pPr>
            <w:r>
              <w:t>OPCC</w:t>
            </w:r>
          </w:p>
          <w:p w14:paraId="47942318" w14:textId="77777777" w:rsidR="00C465E6" w:rsidRDefault="00C465E6" w:rsidP="00C465E6">
            <w:pPr>
              <w:rPr>
                <w:rFonts w:cs="Times New Roman"/>
                <w:szCs w:val="24"/>
              </w:rPr>
            </w:pPr>
            <w:r>
              <w:t>OPC-FINMA</w:t>
            </w:r>
          </w:p>
          <w:p w14:paraId="19132C7C" w14:textId="77777777" w:rsidR="00C465E6" w:rsidRPr="007C33AE" w:rsidRDefault="00C465E6" w:rsidP="00C465E6">
            <w:pPr>
              <w:rPr>
                <w:rFonts w:cs="Times New Roman"/>
                <w:szCs w:val="24"/>
              </w:rPr>
            </w:pPr>
            <w:r>
              <w:t>Organe de révision</w:t>
            </w:r>
          </w:p>
          <w:p w14:paraId="0F9E3F95" w14:textId="77777777" w:rsidR="00C465E6" w:rsidRPr="007C33AE" w:rsidRDefault="00C465E6" w:rsidP="00C465E6">
            <w:pPr>
              <w:rPr>
                <w:rFonts w:cs="Times New Roman"/>
                <w:szCs w:val="24"/>
              </w:rPr>
            </w:pPr>
            <w:r>
              <w:t>Phase d’Investissement</w:t>
            </w:r>
          </w:p>
          <w:p w14:paraId="44F9E2E3" w14:textId="77777777" w:rsidR="00C465E6" w:rsidRPr="007C33AE" w:rsidRDefault="00C465E6" w:rsidP="00C465E6">
            <w:pPr>
              <w:rPr>
                <w:rFonts w:cs="Times New Roman"/>
                <w:szCs w:val="24"/>
              </w:rPr>
            </w:pPr>
            <w:r>
              <w:t>Quote-part</w:t>
            </w:r>
          </w:p>
          <w:p w14:paraId="4181FB4D" w14:textId="77777777" w:rsidR="00C465E6" w:rsidRPr="003A5A1F" w:rsidRDefault="00C465E6" w:rsidP="00C465E6">
            <w:pPr>
              <w:rPr>
                <w:rFonts w:cs="Times New Roman"/>
                <w:szCs w:val="24"/>
              </w:rPr>
            </w:pPr>
            <w:r>
              <w:t>SA indéfiniment responsable</w:t>
            </w:r>
          </w:p>
          <w:p w14:paraId="329294D6" w14:textId="77777777" w:rsidR="00C465E6" w:rsidRPr="007C33AE" w:rsidRDefault="00C465E6" w:rsidP="00C465E6">
            <w:pPr>
              <w:rPr>
                <w:rFonts w:cs="Times New Roman"/>
                <w:szCs w:val="24"/>
              </w:rPr>
            </w:pPr>
            <w:r>
              <w:t>SCmPC</w:t>
            </w:r>
          </w:p>
          <w:p w14:paraId="3C64A3BE" w14:textId="77777777" w:rsidR="00C465E6" w:rsidRPr="007C33AE" w:rsidRDefault="00C465E6" w:rsidP="00C465E6">
            <w:pPr>
              <w:rPr>
                <w:rFonts w:cs="Times New Roman"/>
                <w:szCs w:val="24"/>
              </w:rPr>
            </w:pPr>
            <w:r>
              <w:t>Service de dépôts</w:t>
            </w:r>
          </w:p>
          <w:p w14:paraId="7BEA8D3B" w14:textId="77777777" w:rsidR="00C465E6" w:rsidRPr="007C33AE" w:rsidRDefault="00C465E6" w:rsidP="00C465E6">
            <w:pPr>
              <w:rPr>
                <w:rFonts w:cs="Times New Roman"/>
                <w:szCs w:val="24"/>
              </w:rPr>
            </w:pPr>
            <w:r>
              <w:t>Service de paiement</w:t>
            </w:r>
          </w:p>
          <w:p w14:paraId="70390F22" w14:textId="77777777" w:rsidR="00C465E6" w:rsidRPr="007C33AE" w:rsidRDefault="00C465E6" w:rsidP="00C465E6">
            <w:pPr>
              <w:rPr>
                <w:rFonts w:cs="Times New Roman"/>
                <w:szCs w:val="24"/>
              </w:rPr>
            </w:pPr>
            <w:r>
              <w:t>Société</w:t>
            </w:r>
          </w:p>
          <w:p w14:paraId="5806918C" w14:textId="77777777" w:rsidR="00C465E6" w:rsidRPr="007C33AE" w:rsidRDefault="00C465E6" w:rsidP="00C465E6">
            <w:pPr>
              <w:rPr>
                <w:rFonts w:cs="Times New Roman"/>
                <w:szCs w:val="24"/>
              </w:rPr>
            </w:pPr>
            <w:r>
              <w:t>Société d’audit</w:t>
            </w:r>
          </w:p>
          <w:p w14:paraId="0F0A8DFD" w14:textId="77777777" w:rsidR="00C465E6" w:rsidRPr="007C33AE" w:rsidRDefault="00C465E6" w:rsidP="00C465E6">
            <w:pPr>
              <w:rPr>
                <w:rFonts w:cs="Times New Roman"/>
                <w:szCs w:val="24"/>
                <w:lang w:val="fr-FR"/>
              </w:rPr>
            </w:pPr>
          </w:p>
          <w:p w14:paraId="22F5EC7E" w14:textId="77777777" w:rsidR="00C465E6" w:rsidRPr="007C33AE" w:rsidRDefault="00C465E6" w:rsidP="00C465E6">
            <w:pPr>
              <w:rPr>
                <w:rFonts w:cs="Times New Roman"/>
                <w:szCs w:val="24"/>
                <w:lang w:val="fr-FR"/>
              </w:rPr>
            </w:pPr>
          </w:p>
        </w:tc>
      </w:tr>
    </w:tbl>
    <w:p w14:paraId="3E21FD5A" w14:textId="77777777" w:rsidR="003566FC" w:rsidRPr="007C33AE" w:rsidRDefault="003566FC">
      <w:pPr>
        <w:pStyle w:val="Verzeichnis2"/>
        <w:rPr>
          <w:rFonts w:cs="Times New Roman"/>
          <w:szCs w:val="24"/>
          <w:lang w:val="fr-FR"/>
        </w:rPr>
      </w:pPr>
    </w:p>
    <w:sectPr w:rsidR="003566FC" w:rsidRPr="007C33AE" w:rsidSect="006322E0">
      <w:footerReference w:type="default" r:id="rId8"/>
      <w:headerReference w:type="first" r:id="rId9"/>
      <w:footerReference w:type="first" r:id="rId10"/>
      <w:pgSz w:w="11906" w:h="16838" w:code="9"/>
      <w:pgMar w:top="1701" w:right="851"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F203" w14:textId="77777777" w:rsidR="005E6804" w:rsidRDefault="005E6804">
      <w:pPr>
        <w:rPr>
          <w:rFonts w:cs="Times New Roman"/>
          <w:szCs w:val="24"/>
        </w:rPr>
      </w:pPr>
      <w:r>
        <w:rPr>
          <w:rFonts w:cs="Times New Roman"/>
          <w:szCs w:val="24"/>
        </w:rPr>
        <w:separator/>
      </w:r>
    </w:p>
  </w:endnote>
  <w:endnote w:type="continuationSeparator" w:id="0">
    <w:p w14:paraId="54B0776A" w14:textId="77777777" w:rsidR="005E6804" w:rsidRDefault="005E6804">
      <w:pPr>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B029" w14:textId="68FB40C1" w:rsidR="00E86614" w:rsidRPr="00F02829" w:rsidRDefault="00BD66DB">
    <w:pPr>
      <w:pStyle w:val="Fuzeile"/>
      <w:tabs>
        <w:tab w:val="clear" w:pos="4536"/>
        <w:tab w:val="clear" w:pos="9072"/>
        <w:tab w:val="right" w:pos="9631"/>
      </w:tabs>
      <w:rPr>
        <w:rFonts w:cs="Times New Roman"/>
        <w:sz w:val="16"/>
        <w:szCs w:val="24"/>
      </w:rPr>
    </w:pPr>
    <w:r>
      <w:rPr>
        <w:sz w:val="16"/>
        <w:lang w:val="it-CH"/>
      </w:rPr>
      <w:t xml:space="preserve">AMAS </w:t>
    </w:r>
    <w:r w:rsidRPr="009E45AE">
      <w:rPr>
        <w:sz w:val="16"/>
        <w:lang w:val="it-CH"/>
      </w:rPr>
      <w:t>SECA LP PRO VER_f_Documentation modèle SCmPC_150714</w:t>
    </w:r>
    <w:r>
      <w:rPr>
        <w:sz w:val="16"/>
        <w:lang w:val="it-CH"/>
      </w:rPr>
      <w:t>_160701_220124</w:t>
    </w:r>
    <w:r w:rsidR="00C2599F">
      <w:rPr>
        <w:sz w:val="16"/>
      </w:rPr>
      <w:tab/>
    </w:r>
    <w:r w:rsidR="00E86614">
      <w:rPr>
        <w:rStyle w:val="Seitenzahl"/>
        <w:sz w:val="16"/>
      </w:rPr>
      <w:fldChar w:fldCharType="begin"/>
    </w:r>
    <w:r w:rsidR="00E86614" w:rsidRPr="00F02829">
      <w:rPr>
        <w:rStyle w:val="Seitenzahl"/>
        <w:sz w:val="16"/>
      </w:rPr>
      <w:instrText xml:space="preserve"> PAGE </w:instrText>
    </w:r>
    <w:r w:rsidR="00E86614">
      <w:rPr>
        <w:rStyle w:val="Seitenzahl"/>
        <w:sz w:val="16"/>
      </w:rPr>
      <w:fldChar w:fldCharType="separate"/>
    </w:r>
    <w:r w:rsidR="00066BFD">
      <w:rPr>
        <w:rStyle w:val="Seitenzahl"/>
        <w:sz w:val="16"/>
      </w:rPr>
      <w:t>5</w:t>
    </w:r>
    <w:r w:rsidR="00E86614">
      <w:rPr>
        <w:rStyle w:val="Seitenzahl"/>
        <w:sz w:val="16"/>
      </w:rPr>
      <w:fldChar w:fldCharType="end"/>
    </w:r>
    <w:r w:rsidR="00C2599F">
      <w:rPr>
        <w:rStyle w:val="Seitenzahl"/>
        <w:sz w:val="16"/>
      </w:rPr>
      <w:t>/</w:t>
    </w:r>
    <w:r w:rsidR="00E86614">
      <w:rPr>
        <w:rStyle w:val="Seitenzahl"/>
        <w:sz w:val="16"/>
      </w:rPr>
      <w:fldChar w:fldCharType="begin"/>
    </w:r>
    <w:r w:rsidR="00E86614" w:rsidRPr="00F02829">
      <w:rPr>
        <w:rStyle w:val="Seitenzahl"/>
        <w:sz w:val="16"/>
      </w:rPr>
      <w:instrText xml:space="preserve"> NUMPAGES </w:instrText>
    </w:r>
    <w:r w:rsidR="00E86614">
      <w:rPr>
        <w:rStyle w:val="Seitenzahl"/>
        <w:sz w:val="16"/>
      </w:rPr>
      <w:fldChar w:fldCharType="separate"/>
    </w:r>
    <w:r w:rsidR="00066BFD">
      <w:rPr>
        <w:rStyle w:val="Seitenzahl"/>
        <w:sz w:val="16"/>
      </w:rPr>
      <w:t>18</w:t>
    </w:r>
    <w:r w:rsidR="00E86614">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90E7" w14:textId="09F02640" w:rsidR="00E86614" w:rsidRPr="009E45AE" w:rsidRDefault="00BD66DB">
    <w:pPr>
      <w:pStyle w:val="Fuzeile"/>
      <w:tabs>
        <w:tab w:val="clear" w:pos="4536"/>
        <w:tab w:val="clear" w:pos="9072"/>
        <w:tab w:val="right" w:pos="9631"/>
      </w:tabs>
      <w:rPr>
        <w:rFonts w:cs="Times New Roman"/>
        <w:sz w:val="16"/>
        <w:szCs w:val="24"/>
        <w:lang w:val="it-CH"/>
      </w:rPr>
    </w:pPr>
    <w:r>
      <w:rPr>
        <w:sz w:val="16"/>
        <w:lang w:val="it-CH"/>
      </w:rPr>
      <w:t xml:space="preserve">AMAS </w:t>
    </w:r>
    <w:r w:rsidR="00E86614" w:rsidRPr="009E45AE">
      <w:rPr>
        <w:sz w:val="16"/>
        <w:lang w:val="it-CH"/>
      </w:rPr>
      <w:t>SECA LP PRO VER_f_Documentation modèle SCmPC_150714</w:t>
    </w:r>
    <w:r>
      <w:rPr>
        <w:sz w:val="16"/>
        <w:lang w:val="it-CH"/>
      </w:rPr>
      <w:t>_160701_220124</w:t>
    </w:r>
    <w:r w:rsidR="00E86614" w:rsidRPr="009E45AE">
      <w:rPr>
        <w:sz w:val="16"/>
        <w:lang w:val="it-CH"/>
      </w:rPr>
      <w:tab/>
    </w:r>
    <w:r w:rsidR="00E86614">
      <w:rPr>
        <w:rStyle w:val="Seitenzahl"/>
        <w:sz w:val="16"/>
      </w:rPr>
      <w:fldChar w:fldCharType="begin"/>
    </w:r>
    <w:r w:rsidR="00E86614" w:rsidRPr="00926FD7">
      <w:rPr>
        <w:rStyle w:val="Seitenzahl"/>
        <w:sz w:val="16"/>
        <w:lang w:val="it-CH"/>
      </w:rPr>
      <w:instrText xml:space="preserve"> PAGE </w:instrText>
    </w:r>
    <w:r w:rsidR="00E86614">
      <w:rPr>
        <w:rStyle w:val="Seitenzahl"/>
        <w:sz w:val="16"/>
      </w:rPr>
      <w:fldChar w:fldCharType="separate"/>
    </w:r>
    <w:r w:rsidR="00066BFD" w:rsidRPr="00926FD7">
      <w:rPr>
        <w:rStyle w:val="Seitenzahl"/>
        <w:sz w:val="16"/>
        <w:lang w:val="it-CH"/>
      </w:rPr>
      <w:t>1</w:t>
    </w:r>
    <w:r w:rsidR="00E86614">
      <w:rPr>
        <w:rStyle w:val="Seitenzahl"/>
        <w:sz w:val="16"/>
      </w:rPr>
      <w:fldChar w:fldCharType="end"/>
    </w:r>
    <w:r w:rsidR="00E86614" w:rsidRPr="009E45AE">
      <w:rPr>
        <w:rStyle w:val="Seitenzahl"/>
        <w:sz w:val="16"/>
        <w:lang w:val="it-CH"/>
      </w:rPr>
      <w:t>/</w:t>
    </w:r>
    <w:r w:rsidR="00E86614">
      <w:rPr>
        <w:rStyle w:val="Seitenzahl"/>
        <w:sz w:val="16"/>
      </w:rPr>
      <w:fldChar w:fldCharType="begin"/>
    </w:r>
    <w:r w:rsidR="00E86614" w:rsidRPr="00926FD7">
      <w:rPr>
        <w:rStyle w:val="Seitenzahl"/>
        <w:sz w:val="16"/>
        <w:lang w:val="it-CH"/>
      </w:rPr>
      <w:instrText xml:space="preserve"> NUMPAGES </w:instrText>
    </w:r>
    <w:r w:rsidR="00E86614">
      <w:rPr>
        <w:rStyle w:val="Seitenzahl"/>
        <w:sz w:val="16"/>
      </w:rPr>
      <w:fldChar w:fldCharType="separate"/>
    </w:r>
    <w:r w:rsidR="00066BFD" w:rsidRPr="00926FD7">
      <w:rPr>
        <w:rStyle w:val="Seitenzahl"/>
        <w:sz w:val="16"/>
        <w:lang w:val="it-CH"/>
      </w:rPr>
      <w:t>18</w:t>
    </w:r>
    <w:r w:rsidR="00E86614">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6D35" w14:textId="77777777" w:rsidR="005E6804" w:rsidRDefault="005E6804">
      <w:pPr>
        <w:rPr>
          <w:rFonts w:cs="Times New Roman"/>
          <w:szCs w:val="24"/>
        </w:rPr>
      </w:pPr>
      <w:r>
        <w:rPr>
          <w:rFonts w:cs="Times New Roman"/>
          <w:szCs w:val="24"/>
        </w:rPr>
        <w:separator/>
      </w:r>
    </w:p>
  </w:footnote>
  <w:footnote w:type="continuationSeparator" w:id="0">
    <w:p w14:paraId="0B04F769" w14:textId="77777777" w:rsidR="005E6804" w:rsidRDefault="005E6804">
      <w:pPr>
        <w:rPr>
          <w:rFonts w:cs="Times New Roman"/>
          <w:szCs w:val="24"/>
        </w:rPr>
      </w:pPr>
      <w:r>
        <w:rPr>
          <w:rFonts w:cs="Times New Roman"/>
          <w:szCs w:val="24"/>
        </w:rPr>
        <w:continuationSeparator/>
      </w:r>
    </w:p>
  </w:footnote>
  <w:footnote w:id="1">
    <w:p w14:paraId="0747191B" w14:textId="721B00C1" w:rsidR="00E86614" w:rsidRPr="00BD66DB" w:rsidRDefault="00E86614" w:rsidP="00A33B14">
      <w:pPr>
        <w:pStyle w:val="Funotentext"/>
        <w:jc w:val="both"/>
        <w:rPr>
          <w:rFonts w:ascii="Arial" w:hAnsi="Arial" w:cs="Arial"/>
        </w:rPr>
      </w:pPr>
    </w:p>
  </w:footnote>
  <w:footnote w:id="2">
    <w:p w14:paraId="4D9ACDB1" w14:textId="10F8EEF1" w:rsidR="00E86614" w:rsidRPr="00A93B5B" w:rsidRDefault="00E86614" w:rsidP="00F02829">
      <w:pPr>
        <w:pStyle w:val="Funotentext"/>
        <w:jc w:val="both"/>
        <w:rPr>
          <w:rFonts w:ascii="Arial" w:hAnsi="Arial" w:cs="Arial"/>
        </w:rPr>
      </w:pPr>
      <w:r>
        <w:rPr>
          <w:rStyle w:val="Funotenzeichen"/>
        </w:rPr>
        <w:footnoteRef/>
      </w:r>
      <w:r>
        <w:rPr>
          <w:rFonts w:ascii="Arial" w:hAnsi="Arial"/>
        </w:rPr>
        <w:t xml:space="preserve"> La rédaction initiale au nom des deux associations a été essentiellement assurée par Hannes Glaus, docteur en droit (LL.M., avocat chez BWB Services SA) et est poursuivie par Claudio Bazzi, docteur en droit (avocat chez Bratschi SA).</w:t>
      </w:r>
    </w:p>
  </w:footnote>
  <w:footnote w:id="3">
    <w:p w14:paraId="46D1D192" w14:textId="68D31F62" w:rsidR="00E86614" w:rsidRPr="007C33AE" w:rsidRDefault="00E86614" w:rsidP="00F02829">
      <w:pPr>
        <w:pStyle w:val="Funotentext"/>
        <w:jc w:val="both"/>
        <w:rPr>
          <w:rFonts w:ascii="Arial" w:hAnsi="Arial" w:cs="Arial"/>
        </w:rPr>
      </w:pPr>
      <w:r>
        <w:rPr>
          <w:rStyle w:val="Funotenzeichen"/>
        </w:rPr>
        <w:footnoteRef/>
      </w:r>
      <w:r>
        <w:t xml:space="preserve"> </w:t>
      </w:r>
      <w:r>
        <w:rPr>
          <w:rFonts w:ascii="Arial" w:hAnsi="Arial"/>
        </w:rPr>
        <w:t xml:space="preserve">Conformément à l’article 49 al. 2 LSFin en relation avec l’art. 102 al. 1 let. </w:t>
      </w:r>
      <w:proofErr w:type="gramStart"/>
      <w:r>
        <w:rPr>
          <w:rFonts w:ascii="Arial" w:hAnsi="Arial"/>
        </w:rPr>
        <w:t>h</w:t>
      </w:r>
      <w:proofErr w:type="gramEnd"/>
      <w:r>
        <w:rPr>
          <w:rFonts w:ascii="Arial" w:hAnsi="Arial"/>
        </w:rPr>
        <w:t xml:space="preserve"> LPCC, le prospectus précise notamment les placements, la politique de placement, les restrictions de placement, la répartition des risques, les risques liés aux placements ainsi que les techniques de placement. Il est cependant pertinent et courant de livrer des informations supplémentaires lorsqu’il s’agit de SCmPC plus importantes. Du point de vue juridique, il convient de veiller à ce que la modification du contrat de société, mais pas celle du prospectus, soit soumise à l’autorisation de l’Autorité fédérale de surveillance des marchés financiers FINMA.</w:t>
      </w:r>
    </w:p>
  </w:footnote>
  <w:footnote w:id="4">
    <w:p w14:paraId="7A61B8CF" w14:textId="77777777" w:rsidR="00E86614" w:rsidRPr="007C33AE" w:rsidRDefault="00E86614" w:rsidP="00F02829">
      <w:pPr>
        <w:pStyle w:val="Funotentext"/>
        <w:jc w:val="both"/>
      </w:pPr>
      <w:r>
        <w:rPr>
          <w:rStyle w:val="Funotenzeichen"/>
        </w:rPr>
        <w:footnoteRef/>
      </w:r>
      <w:r>
        <w:t xml:space="preserve"> </w:t>
      </w:r>
      <w:r>
        <w:rPr>
          <w:rFonts w:ascii="Arial" w:hAnsi="Arial"/>
        </w:rPr>
        <w:t>En principe, les informations qui figurent également dans le contrat de société ne doivent être présentées que sous forme synthétique et accompagnées d’une référence au passage correspondant du contrat.</w:t>
      </w:r>
    </w:p>
  </w:footnote>
  <w:footnote w:id="5">
    <w:p w14:paraId="13CAB041" w14:textId="77777777" w:rsidR="00E7533F" w:rsidRPr="00E7533F" w:rsidRDefault="00E7533F" w:rsidP="006F1602">
      <w:pPr>
        <w:pStyle w:val="Funotentext"/>
        <w:jc w:val="both"/>
        <w:rPr>
          <w:rFonts w:ascii="Arial" w:hAnsi="Arial" w:cs="Arial"/>
        </w:rPr>
      </w:pPr>
      <w:r>
        <w:rPr>
          <w:rStyle w:val="Funotenzeichen"/>
          <w:rFonts w:cs="Arial"/>
        </w:rPr>
        <w:footnoteRef/>
      </w:r>
      <w:r>
        <w:rPr>
          <w:rFonts w:ascii="Arial" w:hAnsi="Arial"/>
        </w:rPr>
        <w:t xml:space="preserve"> Le service de dépôts n’est pas obligatoirement imposé et peut notamment être utile pour les papiers-valeurs cotés visés à l’article 54 </w:t>
      </w:r>
      <w:proofErr w:type="gramStart"/>
      <w:r>
        <w:rPr>
          <w:rFonts w:ascii="Arial" w:hAnsi="Arial"/>
        </w:rPr>
        <w:t>LPCC;</w:t>
      </w:r>
      <w:proofErr w:type="gramEnd"/>
      <w:r>
        <w:rPr>
          <w:rFonts w:ascii="Arial" w:hAnsi="Arial"/>
        </w:rPr>
        <w:t xml:space="preserve"> il est nécessaire de désigner un dépositaire pour les placements non bancaires (en particulier les contrats).</w:t>
      </w:r>
    </w:p>
  </w:footnote>
  <w:footnote w:id="6">
    <w:p w14:paraId="057AF4D4" w14:textId="7B3F8584" w:rsidR="00E7533F" w:rsidRPr="007C33AE" w:rsidRDefault="00E7533F" w:rsidP="00987D85">
      <w:pPr>
        <w:pStyle w:val="Funotentext"/>
        <w:jc w:val="both"/>
        <w:rPr>
          <w:rFonts w:ascii="Arial" w:hAnsi="Arial" w:cs="Arial"/>
        </w:rPr>
      </w:pPr>
      <w:r>
        <w:rPr>
          <w:rStyle w:val="Funotenzeichen"/>
        </w:rPr>
        <w:footnoteRef/>
      </w:r>
      <w:r>
        <w:t xml:space="preserve"> </w:t>
      </w:r>
      <w:r>
        <w:rPr>
          <w:rFonts w:ascii="Arial" w:hAnsi="Arial"/>
        </w:rPr>
        <w:t>La Société d’audit est responsable de l’audit prudentiel et doit répondre aux exigences de l’art. 126, al 1 LPCC. L’Organe de révision est chargé de la révision des comptes et doit répondre aux exigences de l’art. 126, al. 5 LPCC. Dans la pratique, ces deux obligations sont généralement assurées par la même société.</w:t>
      </w:r>
    </w:p>
  </w:footnote>
  <w:footnote w:id="7">
    <w:p w14:paraId="590F18D2" w14:textId="77777777" w:rsidR="00E86614" w:rsidRPr="007C33AE" w:rsidRDefault="00E86614" w:rsidP="00987D85">
      <w:pPr>
        <w:pStyle w:val="Funotentext"/>
        <w:jc w:val="both"/>
        <w:rPr>
          <w:rFonts w:ascii="Arial" w:hAnsi="Arial" w:cs="Arial"/>
        </w:rPr>
      </w:pPr>
      <w:r>
        <w:rPr>
          <w:rStyle w:val="Funotenzeichen"/>
        </w:rPr>
        <w:footnoteRef/>
      </w:r>
      <w:r>
        <w:t xml:space="preserve"> </w:t>
      </w:r>
      <w:r>
        <w:rPr>
          <w:rFonts w:ascii="Arial" w:hAnsi="Arial"/>
        </w:rPr>
        <w:t xml:space="preserve">Conformément à l’article 101 LPCC, le nom de la société doit contenir la description de la forme juridique </w:t>
      </w:r>
      <w:proofErr w:type="gramStart"/>
      <w:r>
        <w:rPr>
          <w:rFonts w:ascii="Arial" w:hAnsi="Arial"/>
        </w:rPr>
        <w:t>(«Kommanditgesellschaft</w:t>
      </w:r>
      <w:proofErr w:type="gramEnd"/>
      <w:r>
        <w:rPr>
          <w:rFonts w:ascii="Arial" w:hAnsi="Arial"/>
        </w:rPr>
        <w:t xml:space="preserve"> für kollektive Kapitalanlagen», «Société en commandite de placements collectifs» ou «Società in accomandita per investimenti collettivi di capitale») ou son abréviation («KGK», «SCmPC» ou «SACol»).</w:t>
      </w:r>
    </w:p>
  </w:footnote>
  <w:footnote w:id="8">
    <w:p w14:paraId="333805C9" w14:textId="77777777" w:rsidR="00E86614" w:rsidRPr="007C33AE" w:rsidRDefault="00E86614" w:rsidP="00987D85">
      <w:pPr>
        <w:pStyle w:val="Funotentext"/>
        <w:jc w:val="both"/>
      </w:pPr>
      <w:r>
        <w:rPr>
          <w:rStyle w:val="Funotenzeichen"/>
        </w:rPr>
        <w:footnoteRef/>
      </w:r>
      <w:r>
        <w:t xml:space="preserve"> </w:t>
      </w:r>
      <w:r>
        <w:rPr>
          <w:rFonts w:ascii="Arial" w:hAnsi="Arial"/>
        </w:rPr>
        <w:t>Exemple pour le fonds de capital-</w:t>
      </w:r>
      <w:proofErr w:type="gramStart"/>
      <w:r>
        <w:rPr>
          <w:rFonts w:ascii="Arial" w:hAnsi="Arial"/>
        </w:rPr>
        <w:t>risque:</w:t>
      </w:r>
      <w:proofErr w:type="gramEnd"/>
      <w:r>
        <w:rPr>
          <w:rFonts w:ascii="Arial" w:hAnsi="Arial"/>
        </w:rPr>
        <w:t xml:space="preserve"> «…en capital-risque, à savoir des participations dans de jeunes entreprises issues de secteur en pleine croissance à forte valeur ajoutée…».</w:t>
      </w:r>
    </w:p>
  </w:footnote>
  <w:footnote w:id="9">
    <w:p w14:paraId="0742AD2A" w14:textId="65D3346E" w:rsidR="00E86614" w:rsidRPr="007C33AE" w:rsidRDefault="00E86614" w:rsidP="00987D85">
      <w:pPr>
        <w:pStyle w:val="Funotentext"/>
        <w:jc w:val="both"/>
      </w:pPr>
      <w:r>
        <w:rPr>
          <w:rStyle w:val="Funotenzeichen"/>
        </w:rPr>
        <w:footnoteRef/>
      </w:r>
      <w:r>
        <w:t xml:space="preserve"> </w:t>
      </w:r>
      <w:r>
        <w:rPr>
          <w:rFonts w:ascii="Arial" w:hAnsi="Arial"/>
        </w:rPr>
        <w:t xml:space="preserve">Cf. commentaire de la note </w:t>
      </w:r>
      <w:r w:rsidRPr="007C33AE">
        <w:rPr>
          <w:rFonts w:ascii="Arial" w:hAnsi="Arial" w:cs="Arial"/>
        </w:rPr>
        <w:fldChar w:fldCharType="begin"/>
      </w:r>
      <w:r w:rsidRPr="007C33AE">
        <w:rPr>
          <w:rFonts w:ascii="Arial" w:hAnsi="Arial" w:cs="Arial"/>
        </w:rPr>
        <w:instrText xml:space="preserve"> NOTEREF _Ref425173448 \h  \* MERGEFORMAT </w:instrText>
      </w:r>
      <w:r w:rsidRPr="007C33AE">
        <w:rPr>
          <w:rFonts w:ascii="Arial" w:hAnsi="Arial" w:cs="Arial"/>
        </w:rPr>
      </w:r>
      <w:r w:rsidRPr="007C33AE">
        <w:rPr>
          <w:rFonts w:ascii="Arial" w:hAnsi="Arial" w:cs="Arial"/>
        </w:rPr>
        <w:fldChar w:fldCharType="separate"/>
      </w:r>
      <w:r w:rsidR="00F82572">
        <w:rPr>
          <w:rFonts w:ascii="Arial" w:hAnsi="Arial" w:cs="Arial"/>
        </w:rPr>
        <w:t>6</w:t>
      </w:r>
      <w:r w:rsidRPr="007C33AE">
        <w:rPr>
          <w:rFonts w:ascii="Arial" w:hAnsi="Arial" w:cs="Arial"/>
        </w:rPr>
        <w:fldChar w:fldCharType="end"/>
      </w:r>
      <w:r>
        <w:rPr>
          <w:rFonts w:ascii="Arial" w:hAnsi="Arial"/>
        </w:rPr>
        <w:t>.</w:t>
      </w:r>
    </w:p>
  </w:footnote>
  <w:footnote w:id="10">
    <w:p w14:paraId="67214F92" w14:textId="77777777" w:rsidR="00E85EEB" w:rsidRDefault="00E85EEB" w:rsidP="00E85EEB">
      <w:pPr>
        <w:pStyle w:val="Funotentext"/>
        <w:jc w:val="both"/>
        <w:rPr>
          <w:rFonts w:ascii="Arial" w:hAnsi="Arial" w:cs="Arial"/>
        </w:rPr>
      </w:pPr>
      <w:r>
        <w:rPr>
          <w:rStyle w:val="Funotenzeichen"/>
          <w:rFonts w:cs="Arial"/>
          <w:lang w:val="de-CH"/>
        </w:rPr>
        <w:footnoteRef/>
      </w:r>
      <w:r>
        <w:rPr>
          <w:rFonts w:ascii="Arial" w:hAnsi="Arial"/>
        </w:rPr>
        <w:t xml:space="preserve"> La désignation et notamment l’utilisation d’un service de dépôts ne sont nécessaires que si la société détient des papiers-valeurs négociés en bourse, tels que visés à l’article 54 LPCC. Dans les domaines du Private Equity, de la construction et de l’immobilier, les investissements ne prennent généralement pas la forme de papiers-valeurs négociés en </w:t>
      </w:r>
      <w:proofErr w:type="gramStart"/>
      <w:r>
        <w:rPr>
          <w:rFonts w:ascii="Arial" w:hAnsi="Arial"/>
        </w:rPr>
        <w:t>bourse;</w:t>
      </w:r>
      <w:proofErr w:type="gramEnd"/>
      <w:r>
        <w:rPr>
          <w:rFonts w:ascii="Arial" w:hAnsi="Arial"/>
        </w:rPr>
        <w:t xml:space="preserve"> il est nécessaire de désigner un dépositaire en ce qui concerne de tels placements non bancaires.</w:t>
      </w:r>
    </w:p>
  </w:footnote>
  <w:footnote w:id="11">
    <w:p w14:paraId="2BD65B6E" w14:textId="77777777" w:rsidR="00E85EEB" w:rsidRDefault="00E85EEB" w:rsidP="00E85EEB">
      <w:pPr>
        <w:rPr>
          <w:sz w:val="20"/>
        </w:rPr>
      </w:pPr>
      <w:r>
        <w:rPr>
          <w:rStyle w:val="Funotenzeichen"/>
          <w:sz w:val="20"/>
        </w:rPr>
        <w:footnoteRef/>
      </w:r>
      <w:r>
        <w:rPr>
          <w:rStyle w:val="Funotenzeichen"/>
        </w:rPr>
        <w:t xml:space="preserve"> </w:t>
      </w:r>
      <w:r>
        <w:t>Dans le domaine de la Venture, il est courant de rencontrer une durée de huit ans, assortie de deux options de prolongation de deux ans chacune.</w:t>
      </w:r>
    </w:p>
  </w:footnote>
  <w:footnote w:id="12">
    <w:p w14:paraId="69570F3C" w14:textId="77777777" w:rsidR="00E86614" w:rsidRPr="007C33AE" w:rsidRDefault="00E86614" w:rsidP="00987D85">
      <w:pPr>
        <w:pStyle w:val="Funotentext"/>
        <w:jc w:val="both"/>
      </w:pPr>
      <w:r>
        <w:rPr>
          <w:rStyle w:val="Funotenzeichen"/>
        </w:rPr>
        <w:footnoteRef/>
      </w:r>
      <w:r>
        <w:t xml:space="preserve"> </w:t>
      </w:r>
      <w:r>
        <w:rPr>
          <w:rFonts w:ascii="Arial" w:hAnsi="Arial"/>
        </w:rPr>
        <w:t>Il est également envisageable d’opter pour différentes catégories de commandites, afin de prendre en compte les différents intérêts.</w:t>
      </w:r>
    </w:p>
  </w:footnote>
  <w:footnote w:id="13">
    <w:p w14:paraId="4BF068FB" w14:textId="77777777" w:rsidR="00E86614" w:rsidRPr="007C33AE" w:rsidRDefault="00E86614" w:rsidP="00987D85">
      <w:pPr>
        <w:pStyle w:val="Funotentext"/>
        <w:jc w:val="both"/>
        <w:rPr>
          <w:rFonts w:ascii="Arial" w:hAnsi="Arial" w:cs="Arial"/>
        </w:rPr>
      </w:pPr>
      <w:r>
        <w:rPr>
          <w:rStyle w:val="Funotenzeichen"/>
        </w:rPr>
        <w:footnoteRef/>
      </w:r>
      <w:r>
        <w:t xml:space="preserve"> </w:t>
      </w:r>
      <w:r>
        <w:rPr>
          <w:rFonts w:ascii="Arial" w:hAnsi="Arial"/>
        </w:rPr>
        <w:t>Les Commandites de Promoteur garantissent la même jouissance que les autres commandites, mais sans obligation de fournir des Fonds Propres Supplémentaires.</w:t>
      </w:r>
    </w:p>
  </w:footnote>
  <w:footnote w:id="14">
    <w:p w14:paraId="4B14FD0D" w14:textId="77777777" w:rsidR="00E85EEB" w:rsidRPr="00890516" w:rsidRDefault="00E85EEB" w:rsidP="00E85EEB">
      <w:pPr>
        <w:pStyle w:val="Funotentext"/>
        <w:rPr>
          <w:rFonts w:ascii="Arial" w:hAnsi="Arial" w:cs="Arial"/>
        </w:rPr>
      </w:pPr>
      <w:r>
        <w:rPr>
          <w:rStyle w:val="Funotenzeichen"/>
          <w:rFonts w:cs="Arial"/>
        </w:rPr>
        <w:footnoteRef/>
      </w:r>
      <w:r>
        <w:rPr>
          <w:rFonts w:ascii="Arial" w:hAnsi="Arial"/>
        </w:rPr>
        <w:t xml:space="preserve"> Un tel règlement permet d’éviter de procéder systématiquement à une adaptation du contrat de société (signature par tous les Commanditaires incluse) et à l’enregistrement au RC lors des différentes clôtures de périodes de souscription et des augmentations de capital qui en découlent. Au lieu de cela, un sponsor proche de la SCmPC signe les Commandites Nominales en quelque sorte en réserve et des investisseurs tiers supplémentaires acquièrent ultérieurement les parts, non pas directement par le biais d’une souscription, mais indirectement par le biais d’un transfert (permettant aux Commandites Nominales de devenir des parts de commandite à part entière).</w:t>
      </w:r>
    </w:p>
  </w:footnote>
  <w:footnote w:id="15">
    <w:p w14:paraId="60F84C82" w14:textId="75E1DF39" w:rsidR="00E86614" w:rsidRPr="00036771" w:rsidRDefault="00E86614" w:rsidP="00987D85">
      <w:pPr>
        <w:pStyle w:val="Funotentext"/>
        <w:jc w:val="both"/>
        <w:rPr>
          <w:rFonts w:ascii="Arial" w:hAnsi="Arial" w:cs="Arial"/>
        </w:rPr>
      </w:pPr>
      <w:r>
        <w:rPr>
          <w:rStyle w:val="Funotenzeichen"/>
        </w:rPr>
        <w:footnoteRef/>
      </w:r>
      <w:r>
        <w:rPr>
          <w:rFonts w:ascii="Arial" w:hAnsi="Arial"/>
        </w:rPr>
        <w:t xml:space="preserve"> La période de souscription ne dure en théorie que jusqu’au début de l’activité d’investissement, mais des investissements peuvent déjà être réalisés pendant la période de souscription. Au cours de cette période, toutes les souscriptions ont lieu aux mêmes conditions, éventuellement modifiées par une majoration d’intérêts pour les souscriptions ultérieures.</w:t>
      </w:r>
    </w:p>
  </w:footnote>
  <w:footnote w:id="16">
    <w:p w14:paraId="309C0393" w14:textId="77777777" w:rsidR="00E86614" w:rsidRPr="007C33AE" w:rsidRDefault="00E86614" w:rsidP="00987D85">
      <w:pPr>
        <w:pStyle w:val="Funotentext"/>
        <w:jc w:val="both"/>
      </w:pPr>
      <w:r>
        <w:rPr>
          <w:rStyle w:val="Funotenzeichen"/>
        </w:rPr>
        <w:footnoteRef/>
      </w:r>
      <w:r>
        <w:t xml:space="preserve"> </w:t>
      </w:r>
      <w:r>
        <w:rPr>
          <w:rFonts w:ascii="Arial" w:hAnsi="Arial"/>
        </w:rPr>
        <w:t>Il est également courant de trouver une disposition permettant à la SA indéfiniment responsable de prolonger la période de souscription ou de prescrire une nouvelle souscription (appelée</w:t>
      </w:r>
      <w:proofErr w:type="gramStart"/>
      <w:r>
        <w:rPr>
          <w:rFonts w:ascii="Arial" w:hAnsi="Arial"/>
        </w:rPr>
        <w:t xml:space="preserve"> «second</w:t>
      </w:r>
      <w:proofErr w:type="gramEnd"/>
      <w:r>
        <w:rPr>
          <w:rFonts w:ascii="Arial" w:hAnsi="Arial"/>
        </w:rPr>
        <w:t xml:space="preserve"> closing»).</w:t>
      </w:r>
    </w:p>
  </w:footnote>
  <w:footnote w:id="17">
    <w:p w14:paraId="1127AEF5" w14:textId="77777777" w:rsidR="00E85EEB" w:rsidRPr="00890516" w:rsidRDefault="00E85EEB" w:rsidP="00E85EEB">
      <w:pPr>
        <w:pStyle w:val="Funotentext"/>
        <w:rPr>
          <w:rFonts w:ascii="Arial" w:hAnsi="Arial" w:cs="Arial"/>
        </w:rPr>
      </w:pPr>
      <w:r>
        <w:rPr>
          <w:rStyle w:val="Funotenzeichen"/>
          <w:rFonts w:cs="Arial"/>
        </w:rPr>
        <w:footnoteRef/>
      </w:r>
      <w:r>
        <w:rPr>
          <w:rFonts w:ascii="Arial" w:hAnsi="Arial"/>
        </w:rPr>
        <w:t xml:space="preserve"> Un tel règlement a pour but de compenser le risque en faveur des investisseurs précédents.</w:t>
      </w:r>
    </w:p>
  </w:footnote>
  <w:footnote w:id="18">
    <w:p w14:paraId="37DD8B37" w14:textId="77777777" w:rsidR="00E86614" w:rsidRPr="007C33AE" w:rsidRDefault="00E86614" w:rsidP="00987D85">
      <w:pPr>
        <w:pStyle w:val="Funotentext"/>
        <w:jc w:val="both"/>
      </w:pPr>
      <w:r>
        <w:rPr>
          <w:rStyle w:val="Funotenzeichen"/>
        </w:rPr>
        <w:footnoteRef/>
      </w:r>
      <w:r>
        <w:t xml:space="preserve"> </w:t>
      </w:r>
      <w:r>
        <w:rPr>
          <w:rFonts w:ascii="Arial" w:hAnsi="Arial"/>
        </w:rPr>
        <w:t>Dans le domaine du Private Equity, il est courant de fournir des informations au sujet de l’activité sectorielle, de l’implantation géographique et du stade des investissements (Early Stage, Late Stage, Buyout). Dans le domaine des fonds de fonds et a fortiori celui des Hedge Funds et des projets immobiliers, la description des placements est différente.</w:t>
      </w:r>
    </w:p>
  </w:footnote>
  <w:footnote w:id="19">
    <w:p w14:paraId="49329B04" w14:textId="1289A611" w:rsidR="00E86614" w:rsidRPr="00036771" w:rsidRDefault="00E86614" w:rsidP="00036771">
      <w:pPr>
        <w:pStyle w:val="Funotentext"/>
        <w:rPr>
          <w:rFonts w:ascii="Arial" w:hAnsi="Arial" w:cs="Arial"/>
        </w:rPr>
      </w:pPr>
      <w:r>
        <w:rPr>
          <w:rStyle w:val="Funotenzeichen"/>
        </w:rPr>
        <w:footnoteRef/>
      </w:r>
      <w:r>
        <w:t xml:space="preserve"> </w:t>
      </w:r>
      <w:r>
        <w:rPr>
          <w:rFonts w:ascii="Arial" w:hAnsi="Arial"/>
        </w:rPr>
        <w:t>Il est également envisageable de fournir des informations relatives aux investissements minimums et maximums, aux emprunts et à l’octroi de crédits, aux valeurs limites, au nantissement d’éventuels investissements, en mentionnant la valeur limite correspondante.</w:t>
      </w:r>
    </w:p>
  </w:footnote>
  <w:footnote w:id="20">
    <w:p w14:paraId="39BBA596" w14:textId="77777777" w:rsidR="00036771" w:rsidRPr="0029364A" w:rsidRDefault="00036771" w:rsidP="00036771">
      <w:pPr>
        <w:pStyle w:val="Funotentext"/>
        <w:rPr>
          <w:rFonts w:ascii="Arial" w:hAnsi="Arial" w:cs="Arial"/>
        </w:rPr>
      </w:pPr>
      <w:r>
        <w:rPr>
          <w:rStyle w:val="Funotenzeichen"/>
          <w:rFonts w:cs="Arial"/>
        </w:rPr>
        <w:footnoteRef/>
      </w:r>
      <w:r>
        <w:rPr>
          <w:rFonts w:ascii="Arial" w:hAnsi="Arial"/>
        </w:rPr>
        <w:t xml:space="preserve"> D’autres risques sont à énumérer selon les cas.</w:t>
      </w:r>
    </w:p>
  </w:footnote>
  <w:footnote w:id="21">
    <w:p w14:paraId="21C198A0" w14:textId="77777777" w:rsidR="00036771" w:rsidRPr="00832472" w:rsidRDefault="00036771" w:rsidP="00036771">
      <w:pPr>
        <w:pStyle w:val="Funotentext"/>
        <w:jc w:val="both"/>
        <w:rPr>
          <w:rFonts w:ascii="Arial" w:hAnsi="Arial" w:cs="Arial"/>
        </w:rPr>
      </w:pPr>
      <w:r>
        <w:rPr>
          <w:rStyle w:val="Funotenzeichen"/>
          <w:rFonts w:cs="Arial"/>
        </w:rPr>
        <w:footnoteRef/>
      </w:r>
      <w:r>
        <w:rPr>
          <w:rFonts w:ascii="Arial" w:hAnsi="Arial"/>
        </w:rPr>
        <w:t xml:space="preserve"> Il est plus pertinent de définir les conditions-cadres correspondantes dans un règlement séparé, p. ex. priorité de la société en commandite pour ce qui relève du placement et de la liquidation.</w:t>
      </w:r>
    </w:p>
  </w:footnote>
  <w:footnote w:id="22">
    <w:p w14:paraId="29C5C90F" w14:textId="77777777" w:rsidR="00E86614" w:rsidRPr="007C33AE" w:rsidRDefault="00E86614" w:rsidP="00987D85">
      <w:pPr>
        <w:pStyle w:val="Funotentext"/>
        <w:jc w:val="both"/>
      </w:pPr>
      <w:r>
        <w:rPr>
          <w:rStyle w:val="Funotenzeichen"/>
        </w:rPr>
        <w:footnoteRef/>
      </w:r>
      <w:r>
        <w:t xml:space="preserve"> </w:t>
      </w:r>
      <w:r>
        <w:rPr>
          <w:rFonts w:ascii="Arial" w:hAnsi="Arial"/>
        </w:rPr>
        <w:t>Le devoir de confidentialité est courant mais il n’est pas prescrit par la loi.</w:t>
      </w:r>
    </w:p>
  </w:footnote>
  <w:footnote w:id="23">
    <w:p w14:paraId="23BF0ACF" w14:textId="77777777" w:rsidR="00E86614" w:rsidRPr="007C33AE" w:rsidRDefault="00E86614">
      <w:pPr>
        <w:pStyle w:val="Funotentext"/>
      </w:pPr>
      <w:r>
        <w:rPr>
          <w:rStyle w:val="Funotenzeichen"/>
        </w:rPr>
        <w:footnoteRef/>
      </w:r>
      <w:r>
        <w:t xml:space="preserve"> </w:t>
      </w:r>
      <w:r>
        <w:rPr>
          <w:rFonts w:ascii="Arial" w:hAnsi="Arial"/>
        </w:rPr>
        <w:t>Les énumérations qui suivent sont fournies à titre d’exemple et peuvent être librement adaptées.</w:t>
      </w:r>
    </w:p>
  </w:footnote>
  <w:footnote w:id="24">
    <w:p w14:paraId="002C0E5D" w14:textId="77777777" w:rsidR="00C465E6" w:rsidRPr="00C53FE5" w:rsidRDefault="00C465E6" w:rsidP="00C465E6">
      <w:pPr>
        <w:pStyle w:val="Funotentext"/>
        <w:jc w:val="both"/>
        <w:rPr>
          <w:rFonts w:ascii="Arial" w:hAnsi="Arial" w:cs="Arial"/>
        </w:rPr>
      </w:pPr>
      <w:r>
        <w:rPr>
          <w:rStyle w:val="Funotenzeichen"/>
          <w:rFonts w:cs="Arial"/>
        </w:rPr>
        <w:footnoteRef/>
      </w:r>
      <w:r>
        <w:rPr>
          <w:rFonts w:ascii="Arial" w:hAnsi="Arial"/>
        </w:rPr>
        <w:t xml:space="preserve"> Cf. article 16 LPCC</w:t>
      </w:r>
    </w:p>
  </w:footnote>
  <w:footnote w:id="25">
    <w:p w14:paraId="6420EC32" w14:textId="77777777" w:rsidR="00272362" w:rsidRPr="00832472" w:rsidRDefault="00272362" w:rsidP="00272362">
      <w:pPr>
        <w:pStyle w:val="Funotentext"/>
        <w:jc w:val="both"/>
        <w:rPr>
          <w:rFonts w:ascii="Arial" w:hAnsi="Arial" w:cs="Arial"/>
        </w:rPr>
      </w:pPr>
      <w:r>
        <w:rPr>
          <w:rStyle w:val="Funotenzeichen"/>
          <w:rFonts w:cs="Arial"/>
          <w:lang w:val="de-CH"/>
        </w:rPr>
        <w:footnoteRef/>
      </w:r>
      <w:r>
        <w:rPr>
          <w:rFonts w:ascii="Arial" w:hAnsi="Arial"/>
        </w:rPr>
        <w:t xml:space="preserve"> La désignation d’un Comité consultatif est facultative et la composition de celui-ci est en grande partie laissée à la discrétion des Commanditaires ou des </w:t>
      </w:r>
      <w:proofErr w:type="gramStart"/>
      <w:r>
        <w:rPr>
          <w:rFonts w:ascii="Arial" w:hAnsi="Arial"/>
        </w:rPr>
        <w:t>Fondateurs;</w:t>
      </w:r>
      <w:proofErr w:type="gramEnd"/>
      <w:r>
        <w:rPr>
          <w:rFonts w:ascii="Arial" w:hAnsi="Arial"/>
        </w:rPr>
        <w:t xml:space="preserve"> généralement, le Comité consultatif est désigné dès la phase de création.</w:t>
      </w:r>
    </w:p>
  </w:footnote>
  <w:footnote w:id="26">
    <w:p w14:paraId="58E5160C" w14:textId="677CEBAB" w:rsidR="00A53BDB" w:rsidRPr="009E45AE" w:rsidRDefault="00A53BDB" w:rsidP="00A118A6">
      <w:pPr>
        <w:pStyle w:val="Funotentext"/>
        <w:jc w:val="both"/>
        <w:rPr>
          <w:rFonts w:ascii="Arial" w:hAnsi="Arial" w:cs="Arial"/>
        </w:rPr>
      </w:pPr>
      <w:r>
        <w:rPr>
          <w:rStyle w:val="Funotenzeichen"/>
          <w:rFonts w:cs="Arial"/>
        </w:rPr>
        <w:footnoteRef/>
      </w:r>
      <w:r>
        <w:rPr>
          <w:rFonts w:ascii="Arial" w:hAnsi="Arial"/>
        </w:rPr>
        <w:t>Conformément à l’art. 12 al. 2 OPCC en relation avec l’art. 98 al. 2</w:t>
      </w:r>
      <w:r>
        <w:rPr>
          <w:rFonts w:ascii="Arial" w:hAnsi="Arial"/>
          <w:vertAlign w:val="superscript"/>
        </w:rPr>
        <w:t>bis</w:t>
      </w:r>
      <w:r>
        <w:rPr>
          <w:rFonts w:ascii="Arial" w:hAnsi="Arial"/>
        </w:rPr>
        <w:t xml:space="preserve"> LPCC, les personnes habilitées à signer pour la SA indéfiniment responsable doivent signer à deux.</w:t>
      </w:r>
    </w:p>
  </w:footnote>
  <w:footnote w:id="27">
    <w:p w14:paraId="784FC8D3" w14:textId="1327464B" w:rsidR="006C3A4D" w:rsidRPr="006C3A4D" w:rsidRDefault="006C3A4D">
      <w:pPr>
        <w:pStyle w:val="Funotentext"/>
      </w:pPr>
      <w:r>
        <w:rPr>
          <w:rStyle w:val="Funotenzeichen"/>
        </w:rPr>
        <w:footnoteRef/>
      </w:r>
      <w:r>
        <w:rPr>
          <w:rFonts w:ascii="Arial" w:hAnsi="Arial"/>
        </w:rPr>
        <w:t xml:space="preserve"> P. ex. investissements dans des sociétés de portefeuille existantes après la Phase d’Investissement.</w:t>
      </w:r>
    </w:p>
  </w:footnote>
  <w:footnote w:id="28">
    <w:p w14:paraId="612567EF" w14:textId="77777777" w:rsidR="00994705" w:rsidRPr="00754EDC" w:rsidRDefault="00994705" w:rsidP="00994705">
      <w:pPr>
        <w:pStyle w:val="Funotentext"/>
      </w:pPr>
      <w:r>
        <w:rPr>
          <w:rStyle w:val="Funotenzeichen"/>
        </w:rPr>
        <w:footnoteRef/>
      </w:r>
      <w:r>
        <w:t xml:space="preserve"> </w:t>
      </w:r>
      <w:r>
        <w:rPr>
          <w:rFonts w:ascii="Arial" w:hAnsi="Arial"/>
        </w:rPr>
        <w:t>Un autre règlement contractuel est possible étant donné que la pluralité d’associés indéfiniment responsables est autorisée dans les conditions prévues à l’art. 98 al. 2 LPCC.</w:t>
      </w:r>
    </w:p>
  </w:footnote>
  <w:footnote w:id="29">
    <w:p w14:paraId="5773F30B" w14:textId="77777777" w:rsidR="00C465E6" w:rsidRPr="007C33AE" w:rsidRDefault="00C465E6" w:rsidP="00987D85">
      <w:pPr>
        <w:pStyle w:val="Funotentext"/>
        <w:jc w:val="both"/>
      </w:pPr>
      <w:r>
        <w:rPr>
          <w:rStyle w:val="Funotenzeichen"/>
        </w:rPr>
        <w:footnoteRef/>
      </w:r>
      <w:r>
        <w:t xml:space="preserve"> </w:t>
      </w:r>
      <w:r>
        <w:rPr>
          <w:rFonts w:ascii="Arial" w:hAnsi="Arial"/>
        </w:rPr>
        <w:t>… notamment les fonds précédents et les fonds suivants qui investissent dans les mêmes sociétés de portefeuille et les structures similaires.</w:t>
      </w:r>
    </w:p>
  </w:footnote>
  <w:footnote w:id="30">
    <w:p w14:paraId="163FCDBB" w14:textId="77777777" w:rsidR="00C465E6" w:rsidRPr="007C33AE" w:rsidRDefault="00C465E6" w:rsidP="00987D85">
      <w:pPr>
        <w:pStyle w:val="Funotentext"/>
        <w:jc w:val="both"/>
      </w:pPr>
      <w:r>
        <w:rPr>
          <w:rStyle w:val="Funotenzeichen"/>
        </w:rPr>
        <w:footnoteRef/>
      </w:r>
      <w:r>
        <w:t xml:space="preserve"> </w:t>
      </w:r>
      <w:r>
        <w:rPr>
          <w:rFonts w:ascii="Arial" w:hAnsi="Arial"/>
        </w:rPr>
        <w:t xml:space="preserve">Dans la pratique, il existe d’innombrables </w:t>
      </w:r>
      <w:proofErr w:type="gramStart"/>
      <w:r>
        <w:rPr>
          <w:rFonts w:ascii="Arial" w:hAnsi="Arial"/>
        </w:rPr>
        <w:t>variantes;</w:t>
      </w:r>
      <w:proofErr w:type="gramEnd"/>
      <w:r>
        <w:rPr>
          <w:rFonts w:ascii="Arial" w:hAnsi="Arial"/>
        </w:rPr>
        <w:t xml:space="preserve"> de nombreuses sociétés prévoient une réduction du taux de pourcentage et de la base (p. ex. sur la valeur des investissements restants) après l’achèvement de la Phase d’Investissement.</w:t>
      </w:r>
    </w:p>
  </w:footnote>
  <w:footnote w:id="31">
    <w:p w14:paraId="28C44585" w14:textId="77777777" w:rsidR="00C465E6" w:rsidRPr="007C33AE" w:rsidRDefault="00C465E6" w:rsidP="00987D85">
      <w:pPr>
        <w:pStyle w:val="Funotentext"/>
        <w:jc w:val="both"/>
        <w:rPr>
          <w:rFonts w:ascii="Arial" w:hAnsi="Arial" w:cs="Arial"/>
        </w:rPr>
      </w:pPr>
      <w:r>
        <w:rPr>
          <w:rStyle w:val="Funotenzeichen"/>
        </w:rPr>
        <w:footnoteRef/>
      </w:r>
      <w:r>
        <w:t xml:space="preserve"> </w:t>
      </w:r>
      <w:r>
        <w:rPr>
          <w:rFonts w:ascii="Arial" w:hAnsi="Arial"/>
        </w:rPr>
        <w:t>La participation aux bénéfices du Commandité ou de la SA indéfiniment responsable est également importante. Appelée Carried Interest dans le contexte du Private Equity, elle s’élève généralement à 20% du résultat. Elle prend la plupart du temps la forme d’une allocation directe de cette part au Commandité dans le cadre des distributions de bénéfices aux Commanditaires. Cette règle usuelle à l’échelle internationale est également envisageable dans le cadre de la LPCC. Dans le présent modèle, la participation aux bénéfices a lieu via les Commandites de Promoteur visés aux chiffres 9 et 10.</w:t>
      </w:r>
    </w:p>
  </w:footnote>
  <w:footnote w:id="32">
    <w:p w14:paraId="0CABB6D7" w14:textId="753D7E2C" w:rsidR="00C465E6" w:rsidRPr="007C33AE" w:rsidRDefault="00C465E6" w:rsidP="0017786A">
      <w:pPr>
        <w:pStyle w:val="Funotentext"/>
        <w:jc w:val="both"/>
      </w:pPr>
      <w:r>
        <w:rPr>
          <w:rStyle w:val="Funotenzeichen"/>
        </w:rPr>
        <w:footnoteRef/>
      </w:r>
      <w:r>
        <w:t xml:space="preserve"> </w:t>
      </w:r>
      <w:r>
        <w:rPr>
          <w:rFonts w:ascii="Arial" w:hAnsi="Arial"/>
        </w:rPr>
        <w:t xml:space="preserve">La délégation est autorisée dans la mesure où elle est dans l’intérêt d’une gestion appropriée (article 119 OPCC). Par ailleurs, le contrat de société doit contenir des dispositions sur la délégation de la gestion ou de la représentation (article 102 al. 1 let. </w:t>
      </w:r>
      <w:proofErr w:type="gramStart"/>
      <w:r>
        <w:rPr>
          <w:rFonts w:ascii="Arial" w:hAnsi="Arial"/>
        </w:rPr>
        <w:t>i</w:t>
      </w:r>
      <w:proofErr w:type="gramEnd"/>
      <w:r>
        <w:rPr>
          <w:rFonts w:ascii="Arial" w:hAnsi="Arial"/>
        </w:rPr>
        <w:t xml:space="preserve"> LPCC). L’objet et l’ampleur de la délégation, ainsi que le nom et les coordonnées du/des délégué(s) doivent éventuellement être indiqués dans le prospectus et, le cas échéant, assortis d’un renvoi vers les contrats correspondants.</w:t>
      </w:r>
    </w:p>
  </w:footnote>
  <w:footnote w:id="33">
    <w:p w14:paraId="3292206F" w14:textId="77777777" w:rsidR="00C465E6" w:rsidRPr="007C33AE" w:rsidRDefault="00C465E6" w:rsidP="0017786A">
      <w:pPr>
        <w:pStyle w:val="Funotentext"/>
        <w:jc w:val="both"/>
      </w:pPr>
      <w:r>
        <w:rPr>
          <w:rStyle w:val="Funotenzeichen"/>
        </w:rPr>
        <w:footnoteRef/>
      </w:r>
      <w:r>
        <w:t xml:space="preserve"> </w:t>
      </w:r>
      <w:r>
        <w:rPr>
          <w:rFonts w:ascii="Arial" w:hAnsi="Arial"/>
        </w:rPr>
        <w:t>L’article 119 OPCC mentionne la délégation des décisions en matière de placement. La délégation concerne souvent des fonctions administratives, comme la comptabilité et le reporting, ou des fonctions de support, comme la Due Diligence, le Monitoring et autres.</w:t>
      </w:r>
    </w:p>
  </w:footnote>
  <w:footnote w:id="34">
    <w:p w14:paraId="2AF3235C" w14:textId="77777777" w:rsidR="00C465E6" w:rsidRPr="007C33AE" w:rsidRDefault="00C465E6" w:rsidP="0017786A">
      <w:pPr>
        <w:pStyle w:val="Funotentext"/>
        <w:jc w:val="both"/>
      </w:pPr>
      <w:r>
        <w:rPr>
          <w:rStyle w:val="Funotenzeichen"/>
        </w:rPr>
        <w:footnoteRef/>
      </w:r>
      <w:r>
        <w:t xml:space="preserve"> </w:t>
      </w:r>
      <w:r>
        <w:rPr>
          <w:rFonts w:ascii="Arial" w:hAnsi="Arial"/>
        </w:rPr>
        <w:t>Il n’est pas nécessaire d’établir un rapport semestriel avec bilan et compte de résultat.</w:t>
      </w:r>
    </w:p>
  </w:footnote>
  <w:footnote w:id="35">
    <w:p w14:paraId="4CA03C84" w14:textId="77777777" w:rsidR="00C465E6" w:rsidRPr="007C33AE" w:rsidRDefault="00C465E6" w:rsidP="0017786A">
      <w:pPr>
        <w:pStyle w:val="Funotentext"/>
        <w:jc w:val="both"/>
      </w:pPr>
      <w:r>
        <w:rPr>
          <w:rStyle w:val="Funotenzeichen"/>
        </w:rPr>
        <w:footnoteRef/>
      </w:r>
      <w:r>
        <w:t xml:space="preserve"> </w:t>
      </w:r>
      <w:r>
        <w:rPr>
          <w:rFonts w:ascii="Arial" w:hAnsi="Arial"/>
        </w:rPr>
        <w:t>Le contrat devrait mentionner les principes d’évaluation essentiels. La plupart du temps, il fait également référence aux règles des associations correspondantes. Il convient notamment d’évoquer la SECA (Swiss Private Equity and Corporate Finance Association), dont les directives correspondent globalement à celles de l’EVCA (European Venture Capital Association) et aux International Private Equity and Venture Capital Valuation Guidelines. Les Private Equity Guidelines américaines (édictées par l’organisation PEIGG) ont également une grande importance.</w:t>
      </w:r>
    </w:p>
  </w:footnote>
  <w:footnote w:id="36">
    <w:p w14:paraId="3A3E615B" w14:textId="77777777" w:rsidR="00C465E6" w:rsidRPr="007C33AE" w:rsidRDefault="00C465E6" w:rsidP="00987D85">
      <w:pPr>
        <w:pStyle w:val="Funotentext"/>
        <w:jc w:val="both"/>
        <w:rPr>
          <w:rFonts w:ascii="Arial" w:hAnsi="Arial" w:cs="Arial"/>
        </w:rPr>
      </w:pPr>
      <w:r>
        <w:rPr>
          <w:rStyle w:val="Funotenzeichen"/>
        </w:rPr>
        <w:footnoteRef/>
      </w:r>
      <w:r>
        <w:t xml:space="preserve"> </w:t>
      </w:r>
      <w:r>
        <w:rPr>
          <w:rFonts w:ascii="Arial" w:hAnsi="Arial"/>
        </w:rPr>
        <w:t xml:space="preserve">Dans la pratique, on rencontre presque toutes les </w:t>
      </w:r>
      <w:proofErr w:type="gramStart"/>
      <w:r>
        <w:rPr>
          <w:rFonts w:ascii="Arial" w:hAnsi="Arial"/>
        </w:rPr>
        <w:t>variantes;</w:t>
      </w:r>
      <w:proofErr w:type="gramEnd"/>
      <w:r>
        <w:rPr>
          <w:rFonts w:ascii="Arial" w:hAnsi="Arial"/>
        </w:rPr>
        <w:t xml:space="preserve"> l’ordre présenté ici est volontairement simplifié et n’est fourni qu’à titre d’exemple.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E37D" w14:textId="77777777" w:rsidR="004A11FC" w:rsidRDefault="004A11FC" w:rsidP="004A11FC">
    <w:pPr>
      <w:pStyle w:val="Kopfzeile"/>
      <w:tabs>
        <w:tab w:val="clear" w:pos="4536"/>
        <w:tab w:val="clear" w:pos="9072"/>
        <w:tab w:val="left" w:pos="1218"/>
        <w:tab w:val="right" w:pos="9631"/>
      </w:tabs>
      <w:jc w:val="left"/>
    </w:pPr>
    <w:r>
      <w:rPr>
        <w:noProof/>
      </w:rPr>
      <w:drawing>
        <wp:anchor distT="0" distB="0" distL="114300" distR="114300" simplePos="0" relativeHeight="251660288" behindDoc="0" locked="0" layoutInCell="1" allowOverlap="1" wp14:anchorId="3396F2ED" wp14:editId="40F230A2">
          <wp:simplePos x="0" y="0"/>
          <wp:positionH relativeFrom="margin">
            <wp:align>left</wp:align>
          </wp:positionH>
          <wp:positionV relativeFrom="paragraph">
            <wp:posOffset>-160020</wp:posOffset>
          </wp:positionV>
          <wp:extent cx="2776855" cy="847090"/>
          <wp:effectExtent l="0" t="0" r="4445"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860" cy="850077"/>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0"/>
        <w:szCs w:val="10"/>
        <w:lang w:val="de-CH" w:eastAsia="de-CH"/>
      </w:rPr>
      <w:drawing>
        <wp:anchor distT="0" distB="0" distL="114300" distR="114300" simplePos="0" relativeHeight="251659264" behindDoc="0" locked="0" layoutInCell="1" allowOverlap="1" wp14:anchorId="26409C15" wp14:editId="17B09451">
          <wp:simplePos x="0" y="0"/>
          <wp:positionH relativeFrom="margin">
            <wp:align>right</wp:align>
          </wp:positionH>
          <wp:positionV relativeFrom="paragraph">
            <wp:posOffset>-112395</wp:posOffset>
          </wp:positionV>
          <wp:extent cx="2220595" cy="619125"/>
          <wp:effectExtent l="0" t="0" r="8255" b="9525"/>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0595" cy="619125"/>
                  </a:xfrm>
                  <a:prstGeom prst="rect">
                    <a:avLst/>
                  </a:prstGeom>
                  <a:noFill/>
                </pic:spPr>
              </pic:pic>
            </a:graphicData>
          </a:graphic>
          <wp14:sizeRelH relativeFrom="margin">
            <wp14:pctWidth>0</wp14:pctWidth>
          </wp14:sizeRelH>
          <wp14:sizeRelV relativeFrom="margin">
            <wp14:pctHeight>0</wp14:pctHeight>
          </wp14:sizeRelV>
        </wp:anchor>
      </w:drawing>
    </w:r>
  </w:p>
  <w:p w14:paraId="7DF12FE6" w14:textId="7F741328" w:rsidR="004A11FC" w:rsidRPr="004A11FC" w:rsidRDefault="004A11FC" w:rsidP="004A11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279"/>
    <w:multiLevelType w:val="hybridMultilevel"/>
    <w:tmpl w:val="2B7A5900"/>
    <w:lvl w:ilvl="0" w:tplc="04A44652">
      <w:start w:val="3"/>
      <w:numFmt w:val="lowerLetter"/>
      <w:lvlText w:val="%1)"/>
      <w:lvlJc w:val="left"/>
      <w:pPr>
        <w:tabs>
          <w:tab w:val="num" w:pos="1069"/>
        </w:tabs>
        <w:ind w:left="1069" w:hanging="360"/>
      </w:pPr>
      <w:rPr>
        <w:rFonts w:cs="Times New Roman" w:hint="default"/>
      </w:rPr>
    </w:lvl>
    <w:lvl w:ilvl="1" w:tplc="08070019" w:tentative="1">
      <w:start w:val="1"/>
      <w:numFmt w:val="lowerLetter"/>
      <w:lvlText w:val="%2."/>
      <w:lvlJc w:val="left"/>
      <w:pPr>
        <w:tabs>
          <w:tab w:val="num" w:pos="1789"/>
        </w:tabs>
        <w:ind w:left="1789" w:hanging="360"/>
      </w:pPr>
      <w:rPr>
        <w:rFonts w:cs="Times New Roman"/>
      </w:rPr>
    </w:lvl>
    <w:lvl w:ilvl="2" w:tplc="0807001B" w:tentative="1">
      <w:start w:val="1"/>
      <w:numFmt w:val="lowerRoman"/>
      <w:lvlText w:val="%3."/>
      <w:lvlJc w:val="right"/>
      <w:pPr>
        <w:tabs>
          <w:tab w:val="num" w:pos="2509"/>
        </w:tabs>
        <w:ind w:left="2509" w:hanging="180"/>
      </w:pPr>
      <w:rPr>
        <w:rFonts w:cs="Times New Roman"/>
      </w:rPr>
    </w:lvl>
    <w:lvl w:ilvl="3" w:tplc="0807000F" w:tentative="1">
      <w:start w:val="1"/>
      <w:numFmt w:val="decimal"/>
      <w:lvlText w:val="%4."/>
      <w:lvlJc w:val="left"/>
      <w:pPr>
        <w:tabs>
          <w:tab w:val="num" w:pos="3229"/>
        </w:tabs>
        <w:ind w:left="3229" w:hanging="360"/>
      </w:pPr>
      <w:rPr>
        <w:rFonts w:cs="Times New Roman"/>
      </w:rPr>
    </w:lvl>
    <w:lvl w:ilvl="4" w:tplc="08070019" w:tentative="1">
      <w:start w:val="1"/>
      <w:numFmt w:val="lowerLetter"/>
      <w:lvlText w:val="%5."/>
      <w:lvlJc w:val="left"/>
      <w:pPr>
        <w:tabs>
          <w:tab w:val="num" w:pos="3949"/>
        </w:tabs>
        <w:ind w:left="3949" w:hanging="360"/>
      </w:pPr>
      <w:rPr>
        <w:rFonts w:cs="Times New Roman"/>
      </w:rPr>
    </w:lvl>
    <w:lvl w:ilvl="5" w:tplc="0807001B" w:tentative="1">
      <w:start w:val="1"/>
      <w:numFmt w:val="lowerRoman"/>
      <w:lvlText w:val="%6."/>
      <w:lvlJc w:val="right"/>
      <w:pPr>
        <w:tabs>
          <w:tab w:val="num" w:pos="4669"/>
        </w:tabs>
        <w:ind w:left="4669" w:hanging="180"/>
      </w:pPr>
      <w:rPr>
        <w:rFonts w:cs="Times New Roman"/>
      </w:rPr>
    </w:lvl>
    <w:lvl w:ilvl="6" w:tplc="0807000F" w:tentative="1">
      <w:start w:val="1"/>
      <w:numFmt w:val="decimal"/>
      <w:lvlText w:val="%7."/>
      <w:lvlJc w:val="left"/>
      <w:pPr>
        <w:tabs>
          <w:tab w:val="num" w:pos="5389"/>
        </w:tabs>
        <w:ind w:left="5389" w:hanging="360"/>
      </w:pPr>
      <w:rPr>
        <w:rFonts w:cs="Times New Roman"/>
      </w:rPr>
    </w:lvl>
    <w:lvl w:ilvl="7" w:tplc="08070019" w:tentative="1">
      <w:start w:val="1"/>
      <w:numFmt w:val="lowerLetter"/>
      <w:lvlText w:val="%8."/>
      <w:lvlJc w:val="left"/>
      <w:pPr>
        <w:tabs>
          <w:tab w:val="num" w:pos="6109"/>
        </w:tabs>
        <w:ind w:left="6109" w:hanging="360"/>
      </w:pPr>
      <w:rPr>
        <w:rFonts w:cs="Times New Roman"/>
      </w:rPr>
    </w:lvl>
    <w:lvl w:ilvl="8" w:tplc="0807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FCB132A"/>
    <w:multiLevelType w:val="hybridMultilevel"/>
    <w:tmpl w:val="D63A2D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2530548D"/>
    <w:multiLevelType w:val="hybridMultilevel"/>
    <w:tmpl w:val="618A5C00"/>
    <w:lvl w:ilvl="0" w:tplc="01C2EA8E">
      <w:start w:val="1"/>
      <w:numFmt w:val="decimal"/>
      <w:pStyle w:val="Ueberschrift4"/>
      <w:lvlText w:val="§ %1"/>
      <w:lvlJc w:val="left"/>
      <w:pPr>
        <w:tabs>
          <w:tab w:val="num" w:pos="709"/>
        </w:tabs>
        <w:ind w:left="709" w:hanging="709"/>
      </w:pPr>
      <w:rPr>
        <w:rFonts w:ascii="Arial" w:hAnsi="Arial" w:cs="Times New Roman" w:hint="default"/>
        <w:sz w:val="24"/>
        <w:szCs w:val="24"/>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EF08CC"/>
    <w:multiLevelType w:val="hybridMultilevel"/>
    <w:tmpl w:val="02A8661C"/>
    <w:lvl w:ilvl="0" w:tplc="D176560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 w15:restartNumberingAfterBreak="0">
    <w:nsid w:val="35412CF0"/>
    <w:multiLevelType w:val="hybridMultilevel"/>
    <w:tmpl w:val="33C09E0E"/>
    <w:lvl w:ilvl="0" w:tplc="43D4987C">
      <w:start w:val="22"/>
      <w:numFmt w:val="bullet"/>
      <w:lvlText w:val=""/>
      <w:lvlJc w:val="left"/>
      <w:pPr>
        <w:tabs>
          <w:tab w:val="num" w:pos="1065"/>
        </w:tabs>
        <w:ind w:left="1065" w:hanging="360"/>
      </w:pPr>
      <w:rPr>
        <w:rFonts w:ascii="Wingdings" w:eastAsia="Times New Roman" w:hAnsi="Wingdings" w:hint="default"/>
      </w:rPr>
    </w:lvl>
    <w:lvl w:ilvl="1" w:tplc="08070003" w:tentative="1">
      <w:start w:val="1"/>
      <w:numFmt w:val="bullet"/>
      <w:lvlText w:val="o"/>
      <w:lvlJc w:val="left"/>
      <w:pPr>
        <w:tabs>
          <w:tab w:val="num" w:pos="1785"/>
        </w:tabs>
        <w:ind w:left="1785" w:hanging="360"/>
      </w:pPr>
      <w:rPr>
        <w:rFonts w:ascii="Courier New" w:hAnsi="Courier New"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10476D0"/>
    <w:multiLevelType w:val="hybridMultilevel"/>
    <w:tmpl w:val="B41C0DA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430905B8"/>
    <w:multiLevelType w:val="hybridMultilevel"/>
    <w:tmpl w:val="9418DF2E"/>
    <w:lvl w:ilvl="0" w:tplc="3A2ADE94">
      <w:start w:val="59"/>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9D6428"/>
    <w:multiLevelType w:val="hybridMultilevel"/>
    <w:tmpl w:val="231AF78E"/>
    <w:lvl w:ilvl="0" w:tplc="E232248A">
      <w:start w:val="1"/>
      <w:numFmt w:val="lowerLetter"/>
      <w:lvlText w:val="%1."/>
      <w:lvlJc w:val="left"/>
      <w:pPr>
        <w:ind w:left="1144" w:hanging="435"/>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8" w15:restartNumberingAfterBreak="0">
    <w:nsid w:val="4B1D6642"/>
    <w:multiLevelType w:val="hybridMultilevel"/>
    <w:tmpl w:val="8A8A5BE0"/>
    <w:lvl w:ilvl="0" w:tplc="18107CDC">
      <w:start w:val="1"/>
      <w:numFmt w:val="bullet"/>
      <w:pStyle w:val="Einzug3"/>
      <w:lvlText w:val="-"/>
      <w:lvlJc w:val="left"/>
      <w:pPr>
        <w:tabs>
          <w:tab w:val="num" w:pos="1276"/>
        </w:tabs>
        <w:ind w:left="1276" w:hanging="284"/>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F2C55"/>
    <w:multiLevelType w:val="hybridMultilevel"/>
    <w:tmpl w:val="C3D8ADE2"/>
    <w:lvl w:ilvl="0" w:tplc="56985656">
      <w:start w:val="1"/>
      <w:numFmt w:val="upperLetter"/>
      <w:lvlText w:val="%1"/>
      <w:lvlJc w:val="left"/>
      <w:pPr>
        <w:tabs>
          <w:tab w:val="num" w:pos="709"/>
        </w:tabs>
        <w:ind w:left="709" w:hanging="709"/>
      </w:pPr>
      <w:rPr>
        <w:rFonts w:ascii="Arial" w:hAnsi="Arial" w:cs="Times New Roman" w:hint="default"/>
        <w:b/>
        <w:i w:val="0"/>
        <w:sz w:val="26"/>
        <w:szCs w:val="26"/>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B403AF"/>
    <w:multiLevelType w:val="hybridMultilevel"/>
    <w:tmpl w:val="EFDA17A6"/>
    <w:lvl w:ilvl="0" w:tplc="43D4987C">
      <w:start w:val="22"/>
      <w:numFmt w:val="bullet"/>
      <w:lvlText w:val=""/>
      <w:lvlJc w:val="left"/>
      <w:pPr>
        <w:ind w:left="720" w:hanging="360"/>
      </w:pPr>
      <w:rPr>
        <w:rFonts w:ascii="Wingdings" w:eastAsia="Times New Roman"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7495ABB"/>
    <w:multiLevelType w:val="hybridMultilevel"/>
    <w:tmpl w:val="099C17A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5D567D20"/>
    <w:multiLevelType w:val="multilevel"/>
    <w:tmpl w:val="618A5C00"/>
    <w:lvl w:ilvl="0">
      <w:start w:val="1"/>
      <w:numFmt w:val="decimal"/>
      <w:lvlText w:val="§ %1"/>
      <w:lvlJc w:val="left"/>
      <w:pPr>
        <w:tabs>
          <w:tab w:val="num" w:pos="709"/>
        </w:tabs>
        <w:ind w:left="709" w:hanging="709"/>
      </w:pPr>
      <w:rPr>
        <w:rFonts w:ascii="Arial" w:hAnsi="Arial"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FE60BFD"/>
    <w:multiLevelType w:val="hybridMultilevel"/>
    <w:tmpl w:val="59FCAF7C"/>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num w:numId="1">
    <w:abstractNumId w:val="9"/>
  </w:num>
  <w:num w:numId="2">
    <w:abstractNumId w:val="2"/>
  </w:num>
  <w:num w:numId="3">
    <w:abstractNumId w:val="12"/>
  </w:num>
  <w:num w:numId="4">
    <w:abstractNumId w:val="8"/>
  </w:num>
  <w:num w:numId="5">
    <w:abstractNumId w:val="0"/>
  </w:num>
  <w:num w:numId="6">
    <w:abstractNumId w:val="4"/>
  </w:num>
  <w:num w:numId="7">
    <w:abstractNumId w:val="6"/>
  </w:num>
  <w:num w:numId="8">
    <w:abstractNumId w:val="10"/>
  </w:num>
  <w:num w:numId="9">
    <w:abstractNumId w:val="13"/>
  </w:num>
  <w:num w:numId="10">
    <w:abstractNumId w:val="7"/>
  </w:num>
  <w:num w:numId="11">
    <w:abstractNumId w:val="5"/>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5B"/>
    <w:rsid w:val="0000153F"/>
    <w:rsid w:val="0000258B"/>
    <w:rsid w:val="00013095"/>
    <w:rsid w:val="00014E10"/>
    <w:rsid w:val="00014F5A"/>
    <w:rsid w:val="00017947"/>
    <w:rsid w:val="00017E34"/>
    <w:rsid w:val="00020B95"/>
    <w:rsid w:val="000223B8"/>
    <w:rsid w:val="000228FF"/>
    <w:rsid w:val="00033E49"/>
    <w:rsid w:val="00034FBE"/>
    <w:rsid w:val="00035694"/>
    <w:rsid w:val="00036771"/>
    <w:rsid w:val="00037F19"/>
    <w:rsid w:val="000416F4"/>
    <w:rsid w:val="0005028F"/>
    <w:rsid w:val="00051DE7"/>
    <w:rsid w:val="00051FFA"/>
    <w:rsid w:val="00053574"/>
    <w:rsid w:val="0006066A"/>
    <w:rsid w:val="000627C7"/>
    <w:rsid w:val="0006338E"/>
    <w:rsid w:val="00066BFD"/>
    <w:rsid w:val="00067A48"/>
    <w:rsid w:val="00070F04"/>
    <w:rsid w:val="000721FB"/>
    <w:rsid w:val="00075AFB"/>
    <w:rsid w:val="000765BA"/>
    <w:rsid w:val="00077BEF"/>
    <w:rsid w:val="00082B6F"/>
    <w:rsid w:val="00084447"/>
    <w:rsid w:val="000862C0"/>
    <w:rsid w:val="00087A41"/>
    <w:rsid w:val="00094C1F"/>
    <w:rsid w:val="000962A2"/>
    <w:rsid w:val="00096F2E"/>
    <w:rsid w:val="00097E61"/>
    <w:rsid w:val="000A1655"/>
    <w:rsid w:val="000A1B9A"/>
    <w:rsid w:val="000A2BFB"/>
    <w:rsid w:val="000A40B9"/>
    <w:rsid w:val="000A47A7"/>
    <w:rsid w:val="000A70A9"/>
    <w:rsid w:val="000A7EC5"/>
    <w:rsid w:val="000B0CBD"/>
    <w:rsid w:val="000B2AD9"/>
    <w:rsid w:val="000B2DC9"/>
    <w:rsid w:val="000C1489"/>
    <w:rsid w:val="000C16DB"/>
    <w:rsid w:val="000C326D"/>
    <w:rsid w:val="000C392E"/>
    <w:rsid w:val="000C6149"/>
    <w:rsid w:val="000C65FA"/>
    <w:rsid w:val="000C6AE8"/>
    <w:rsid w:val="000C77F8"/>
    <w:rsid w:val="000C7980"/>
    <w:rsid w:val="000D338E"/>
    <w:rsid w:val="000D5750"/>
    <w:rsid w:val="000D6929"/>
    <w:rsid w:val="000D6AA7"/>
    <w:rsid w:val="000D757D"/>
    <w:rsid w:val="000E12E5"/>
    <w:rsid w:val="000E163B"/>
    <w:rsid w:val="000E184F"/>
    <w:rsid w:val="000E3BA6"/>
    <w:rsid w:val="000E3D1C"/>
    <w:rsid w:val="000E4DDD"/>
    <w:rsid w:val="000E7ED8"/>
    <w:rsid w:val="000F049D"/>
    <w:rsid w:val="000F1421"/>
    <w:rsid w:val="000F4FDF"/>
    <w:rsid w:val="000F696E"/>
    <w:rsid w:val="000F78D0"/>
    <w:rsid w:val="001028BD"/>
    <w:rsid w:val="00102CB2"/>
    <w:rsid w:val="00115268"/>
    <w:rsid w:val="00115B40"/>
    <w:rsid w:val="00116546"/>
    <w:rsid w:val="00120533"/>
    <w:rsid w:val="00124107"/>
    <w:rsid w:val="00125B8A"/>
    <w:rsid w:val="00130546"/>
    <w:rsid w:val="001306A5"/>
    <w:rsid w:val="00131C14"/>
    <w:rsid w:val="00132E4B"/>
    <w:rsid w:val="00132FA4"/>
    <w:rsid w:val="0013553F"/>
    <w:rsid w:val="00137D9A"/>
    <w:rsid w:val="00141F33"/>
    <w:rsid w:val="00142695"/>
    <w:rsid w:val="00142E84"/>
    <w:rsid w:val="001479E4"/>
    <w:rsid w:val="00150EA9"/>
    <w:rsid w:val="001559F1"/>
    <w:rsid w:val="0015787E"/>
    <w:rsid w:val="00163CA4"/>
    <w:rsid w:val="001703C6"/>
    <w:rsid w:val="00173076"/>
    <w:rsid w:val="001732F5"/>
    <w:rsid w:val="00173868"/>
    <w:rsid w:val="001744AF"/>
    <w:rsid w:val="001761C0"/>
    <w:rsid w:val="0017626A"/>
    <w:rsid w:val="0017786A"/>
    <w:rsid w:val="00177A1E"/>
    <w:rsid w:val="001802F1"/>
    <w:rsid w:val="0018128D"/>
    <w:rsid w:val="00182D86"/>
    <w:rsid w:val="00182F3C"/>
    <w:rsid w:val="0018405F"/>
    <w:rsid w:val="00190901"/>
    <w:rsid w:val="00193E38"/>
    <w:rsid w:val="001971F9"/>
    <w:rsid w:val="00197354"/>
    <w:rsid w:val="00197E38"/>
    <w:rsid w:val="001A0D31"/>
    <w:rsid w:val="001B0447"/>
    <w:rsid w:val="001B11E5"/>
    <w:rsid w:val="001B4351"/>
    <w:rsid w:val="001C0450"/>
    <w:rsid w:val="001C19A5"/>
    <w:rsid w:val="001C309F"/>
    <w:rsid w:val="001C4133"/>
    <w:rsid w:val="001C4307"/>
    <w:rsid w:val="001D0782"/>
    <w:rsid w:val="001D3895"/>
    <w:rsid w:val="001D4A55"/>
    <w:rsid w:val="001D4B73"/>
    <w:rsid w:val="001D5061"/>
    <w:rsid w:val="001D735A"/>
    <w:rsid w:val="001E1829"/>
    <w:rsid w:val="001E6DF5"/>
    <w:rsid w:val="001E7C07"/>
    <w:rsid w:val="001F0C4E"/>
    <w:rsid w:val="001F337B"/>
    <w:rsid w:val="001F5762"/>
    <w:rsid w:val="001F7155"/>
    <w:rsid w:val="001F7A72"/>
    <w:rsid w:val="00200D23"/>
    <w:rsid w:val="00204247"/>
    <w:rsid w:val="002053A9"/>
    <w:rsid w:val="0021126B"/>
    <w:rsid w:val="00211CBB"/>
    <w:rsid w:val="00213935"/>
    <w:rsid w:val="00214286"/>
    <w:rsid w:val="002142C3"/>
    <w:rsid w:val="00224365"/>
    <w:rsid w:val="00225ABA"/>
    <w:rsid w:val="00226C7C"/>
    <w:rsid w:val="00227D43"/>
    <w:rsid w:val="00227F90"/>
    <w:rsid w:val="002302B6"/>
    <w:rsid w:val="00231D8D"/>
    <w:rsid w:val="00237BFA"/>
    <w:rsid w:val="00237C3F"/>
    <w:rsid w:val="0024791A"/>
    <w:rsid w:val="002501A4"/>
    <w:rsid w:val="002507E4"/>
    <w:rsid w:val="00251F70"/>
    <w:rsid w:val="00252C08"/>
    <w:rsid w:val="00253B07"/>
    <w:rsid w:val="00254800"/>
    <w:rsid w:val="0025537A"/>
    <w:rsid w:val="00257804"/>
    <w:rsid w:val="00261646"/>
    <w:rsid w:val="002625F5"/>
    <w:rsid w:val="002636E7"/>
    <w:rsid w:val="00264A0A"/>
    <w:rsid w:val="00265CC9"/>
    <w:rsid w:val="00267493"/>
    <w:rsid w:val="00272362"/>
    <w:rsid w:val="002737DD"/>
    <w:rsid w:val="00274380"/>
    <w:rsid w:val="00274571"/>
    <w:rsid w:val="00274ABB"/>
    <w:rsid w:val="00277319"/>
    <w:rsid w:val="0028085B"/>
    <w:rsid w:val="00283805"/>
    <w:rsid w:val="00284612"/>
    <w:rsid w:val="00284C07"/>
    <w:rsid w:val="00284DBB"/>
    <w:rsid w:val="0028549E"/>
    <w:rsid w:val="002860F8"/>
    <w:rsid w:val="00291588"/>
    <w:rsid w:val="00292361"/>
    <w:rsid w:val="002936C2"/>
    <w:rsid w:val="00295E3A"/>
    <w:rsid w:val="00296F30"/>
    <w:rsid w:val="002A587A"/>
    <w:rsid w:val="002A5A04"/>
    <w:rsid w:val="002A5E1E"/>
    <w:rsid w:val="002A5FC8"/>
    <w:rsid w:val="002A68CB"/>
    <w:rsid w:val="002B1B73"/>
    <w:rsid w:val="002B1E58"/>
    <w:rsid w:val="002B1EF4"/>
    <w:rsid w:val="002B4423"/>
    <w:rsid w:val="002B54E7"/>
    <w:rsid w:val="002B68B6"/>
    <w:rsid w:val="002B765D"/>
    <w:rsid w:val="002C0E0D"/>
    <w:rsid w:val="002C2D09"/>
    <w:rsid w:val="002C2ECD"/>
    <w:rsid w:val="002C3787"/>
    <w:rsid w:val="002C4A0D"/>
    <w:rsid w:val="002C51E9"/>
    <w:rsid w:val="002C5424"/>
    <w:rsid w:val="002C5809"/>
    <w:rsid w:val="002C669C"/>
    <w:rsid w:val="002C6767"/>
    <w:rsid w:val="002C6778"/>
    <w:rsid w:val="002C7848"/>
    <w:rsid w:val="002C7A13"/>
    <w:rsid w:val="002D40B9"/>
    <w:rsid w:val="002D6705"/>
    <w:rsid w:val="002E10DE"/>
    <w:rsid w:val="002E32BD"/>
    <w:rsid w:val="002E748F"/>
    <w:rsid w:val="002E7ADD"/>
    <w:rsid w:val="002E7DBD"/>
    <w:rsid w:val="002F1935"/>
    <w:rsid w:val="002F1A89"/>
    <w:rsid w:val="002F2599"/>
    <w:rsid w:val="002F33F3"/>
    <w:rsid w:val="002F4007"/>
    <w:rsid w:val="002F5464"/>
    <w:rsid w:val="002F624A"/>
    <w:rsid w:val="002F7D93"/>
    <w:rsid w:val="0030008E"/>
    <w:rsid w:val="00302464"/>
    <w:rsid w:val="00307517"/>
    <w:rsid w:val="003100BA"/>
    <w:rsid w:val="00314EC2"/>
    <w:rsid w:val="003224C8"/>
    <w:rsid w:val="00323970"/>
    <w:rsid w:val="00324453"/>
    <w:rsid w:val="003272C7"/>
    <w:rsid w:val="00327907"/>
    <w:rsid w:val="00327C38"/>
    <w:rsid w:val="00327FF7"/>
    <w:rsid w:val="00330E98"/>
    <w:rsid w:val="00332461"/>
    <w:rsid w:val="00332991"/>
    <w:rsid w:val="003353DD"/>
    <w:rsid w:val="00335FFC"/>
    <w:rsid w:val="00340A79"/>
    <w:rsid w:val="00341205"/>
    <w:rsid w:val="00353B6B"/>
    <w:rsid w:val="003566FC"/>
    <w:rsid w:val="00357114"/>
    <w:rsid w:val="00361B41"/>
    <w:rsid w:val="003673C0"/>
    <w:rsid w:val="003677F9"/>
    <w:rsid w:val="00370704"/>
    <w:rsid w:val="00370EBA"/>
    <w:rsid w:val="00373A95"/>
    <w:rsid w:val="00373D8B"/>
    <w:rsid w:val="00374FBE"/>
    <w:rsid w:val="0037602E"/>
    <w:rsid w:val="00380E24"/>
    <w:rsid w:val="00384AFB"/>
    <w:rsid w:val="00385461"/>
    <w:rsid w:val="00395059"/>
    <w:rsid w:val="00396610"/>
    <w:rsid w:val="00396A87"/>
    <w:rsid w:val="003A2792"/>
    <w:rsid w:val="003A465B"/>
    <w:rsid w:val="003A4A92"/>
    <w:rsid w:val="003A5A1F"/>
    <w:rsid w:val="003A5BB6"/>
    <w:rsid w:val="003A7A4C"/>
    <w:rsid w:val="003B1C01"/>
    <w:rsid w:val="003B3076"/>
    <w:rsid w:val="003B3F9B"/>
    <w:rsid w:val="003B4178"/>
    <w:rsid w:val="003B5276"/>
    <w:rsid w:val="003B63D9"/>
    <w:rsid w:val="003B7165"/>
    <w:rsid w:val="003C1137"/>
    <w:rsid w:val="003C306B"/>
    <w:rsid w:val="003D761F"/>
    <w:rsid w:val="003E0180"/>
    <w:rsid w:val="003E078A"/>
    <w:rsid w:val="003E35D3"/>
    <w:rsid w:val="003E749A"/>
    <w:rsid w:val="003F15AE"/>
    <w:rsid w:val="003F5C1D"/>
    <w:rsid w:val="0040273C"/>
    <w:rsid w:val="00402FC9"/>
    <w:rsid w:val="004038BC"/>
    <w:rsid w:val="004046CC"/>
    <w:rsid w:val="0040495B"/>
    <w:rsid w:val="00405610"/>
    <w:rsid w:val="004065AB"/>
    <w:rsid w:val="00410951"/>
    <w:rsid w:val="00412938"/>
    <w:rsid w:val="00413338"/>
    <w:rsid w:val="00414445"/>
    <w:rsid w:val="00420139"/>
    <w:rsid w:val="004203DA"/>
    <w:rsid w:val="00430722"/>
    <w:rsid w:val="00431CD5"/>
    <w:rsid w:val="00431F30"/>
    <w:rsid w:val="00432E97"/>
    <w:rsid w:val="004349A1"/>
    <w:rsid w:val="00434D04"/>
    <w:rsid w:val="004354B6"/>
    <w:rsid w:val="00436DF0"/>
    <w:rsid w:val="00440948"/>
    <w:rsid w:val="0044132D"/>
    <w:rsid w:val="00444ADC"/>
    <w:rsid w:val="00445FE0"/>
    <w:rsid w:val="00453843"/>
    <w:rsid w:val="00454C71"/>
    <w:rsid w:val="00455C52"/>
    <w:rsid w:val="004578C8"/>
    <w:rsid w:val="004602ED"/>
    <w:rsid w:val="00460C9A"/>
    <w:rsid w:val="00466353"/>
    <w:rsid w:val="0046694F"/>
    <w:rsid w:val="00466F08"/>
    <w:rsid w:val="00470009"/>
    <w:rsid w:val="004717C4"/>
    <w:rsid w:val="00472146"/>
    <w:rsid w:val="004727FB"/>
    <w:rsid w:val="004741E9"/>
    <w:rsid w:val="00474E61"/>
    <w:rsid w:val="004751B2"/>
    <w:rsid w:val="004779AA"/>
    <w:rsid w:val="004817F6"/>
    <w:rsid w:val="00481DB8"/>
    <w:rsid w:val="00482A09"/>
    <w:rsid w:val="004842B7"/>
    <w:rsid w:val="004854CF"/>
    <w:rsid w:val="00490146"/>
    <w:rsid w:val="004945C8"/>
    <w:rsid w:val="004A01B5"/>
    <w:rsid w:val="004A11FC"/>
    <w:rsid w:val="004A41EC"/>
    <w:rsid w:val="004A4311"/>
    <w:rsid w:val="004A6566"/>
    <w:rsid w:val="004A6711"/>
    <w:rsid w:val="004B6914"/>
    <w:rsid w:val="004C07D0"/>
    <w:rsid w:val="004C10BF"/>
    <w:rsid w:val="004C68C9"/>
    <w:rsid w:val="004C737B"/>
    <w:rsid w:val="004D0A3E"/>
    <w:rsid w:val="004D0FF0"/>
    <w:rsid w:val="004D1B54"/>
    <w:rsid w:val="004D22FA"/>
    <w:rsid w:val="004D24DE"/>
    <w:rsid w:val="004D6BCF"/>
    <w:rsid w:val="004D7A96"/>
    <w:rsid w:val="004E0695"/>
    <w:rsid w:val="004E3023"/>
    <w:rsid w:val="004E537C"/>
    <w:rsid w:val="004E6DB7"/>
    <w:rsid w:val="004E7909"/>
    <w:rsid w:val="004F29DE"/>
    <w:rsid w:val="004F3598"/>
    <w:rsid w:val="005005EE"/>
    <w:rsid w:val="00500A7D"/>
    <w:rsid w:val="00500BD5"/>
    <w:rsid w:val="005013AE"/>
    <w:rsid w:val="005028FA"/>
    <w:rsid w:val="00503213"/>
    <w:rsid w:val="00504DF5"/>
    <w:rsid w:val="00512E1F"/>
    <w:rsid w:val="005135C8"/>
    <w:rsid w:val="00516112"/>
    <w:rsid w:val="005168BC"/>
    <w:rsid w:val="00516CF5"/>
    <w:rsid w:val="005225F6"/>
    <w:rsid w:val="00526D5C"/>
    <w:rsid w:val="00527FDD"/>
    <w:rsid w:val="00532B19"/>
    <w:rsid w:val="00533E70"/>
    <w:rsid w:val="0054239A"/>
    <w:rsid w:val="0054263C"/>
    <w:rsid w:val="0054482E"/>
    <w:rsid w:val="00545AEB"/>
    <w:rsid w:val="00547FE2"/>
    <w:rsid w:val="0055187D"/>
    <w:rsid w:val="00551B1B"/>
    <w:rsid w:val="0055500B"/>
    <w:rsid w:val="00555C57"/>
    <w:rsid w:val="00556342"/>
    <w:rsid w:val="0055669C"/>
    <w:rsid w:val="00556719"/>
    <w:rsid w:val="00563D3A"/>
    <w:rsid w:val="00572037"/>
    <w:rsid w:val="005723E5"/>
    <w:rsid w:val="00572473"/>
    <w:rsid w:val="00574903"/>
    <w:rsid w:val="00574C1C"/>
    <w:rsid w:val="00575355"/>
    <w:rsid w:val="00577850"/>
    <w:rsid w:val="0058149E"/>
    <w:rsid w:val="0058233E"/>
    <w:rsid w:val="00582ECE"/>
    <w:rsid w:val="00584DF3"/>
    <w:rsid w:val="00585A59"/>
    <w:rsid w:val="005950CC"/>
    <w:rsid w:val="00595E61"/>
    <w:rsid w:val="005976C6"/>
    <w:rsid w:val="005A00DB"/>
    <w:rsid w:val="005A1525"/>
    <w:rsid w:val="005A2756"/>
    <w:rsid w:val="005A4073"/>
    <w:rsid w:val="005A5B66"/>
    <w:rsid w:val="005A6A3F"/>
    <w:rsid w:val="005B43EC"/>
    <w:rsid w:val="005B73D9"/>
    <w:rsid w:val="005C2223"/>
    <w:rsid w:val="005C3137"/>
    <w:rsid w:val="005C3B84"/>
    <w:rsid w:val="005C3DD6"/>
    <w:rsid w:val="005C481D"/>
    <w:rsid w:val="005C5DBB"/>
    <w:rsid w:val="005C7096"/>
    <w:rsid w:val="005D0541"/>
    <w:rsid w:val="005D0638"/>
    <w:rsid w:val="005D23A4"/>
    <w:rsid w:val="005D2B52"/>
    <w:rsid w:val="005D4BE2"/>
    <w:rsid w:val="005D5672"/>
    <w:rsid w:val="005E0E6D"/>
    <w:rsid w:val="005E2F72"/>
    <w:rsid w:val="005E3B1C"/>
    <w:rsid w:val="005E46BD"/>
    <w:rsid w:val="005E594B"/>
    <w:rsid w:val="005E665D"/>
    <w:rsid w:val="005E6804"/>
    <w:rsid w:val="005E7680"/>
    <w:rsid w:val="005F0443"/>
    <w:rsid w:val="005F2D19"/>
    <w:rsid w:val="005F5A76"/>
    <w:rsid w:val="006000AF"/>
    <w:rsid w:val="00601C03"/>
    <w:rsid w:val="006024CF"/>
    <w:rsid w:val="00602540"/>
    <w:rsid w:val="006035EF"/>
    <w:rsid w:val="006038D0"/>
    <w:rsid w:val="00603B2F"/>
    <w:rsid w:val="00603FDC"/>
    <w:rsid w:val="0060708B"/>
    <w:rsid w:val="006108E7"/>
    <w:rsid w:val="006123C1"/>
    <w:rsid w:val="00612A8F"/>
    <w:rsid w:val="006159CA"/>
    <w:rsid w:val="00616BF1"/>
    <w:rsid w:val="006175C4"/>
    <w:rsid w:val="0062352C"/>
    <w:rsid w:val="00624226"/>
    <w:rsid w:val="006259B0"/>
    <w:rsid w:val="00626736"/>
    <w:rsid w:val="006312E0"/>
    <w:rsid w:val="006322E0"/>
    <w:rsid w:val="00632566"/>
    <w:rsid w:val="00633CDB"/>
    <w:rsid w:val="00637B23"/>
    <w:rsid w:val="006403B8"/>
    <w:rsid w:val="0064455E"/>
    <w:rsid w:val="0064695C"/>
    <w:rsid w:val="00646ACF"/>
    <w:rsid w:val="00647477"/>
    <w:rsid w:val="00647FBF"/>
    <w:rsid w:val="00650838"/>
    <w:rsid w:val="0065173B"/>
    <w:rsid w:val="00655D73"/>
    <w:rsid w:val="00655F36"/>
    <w:rsid w:val="00657EC7"/>
    <w:rsid w:val="00660E93"/>
    <w:rsid w:val="006610DB"/>
    <w:rsid w:val="00662C9A"/>
    <w:rsid w:val="006635A3"/>
    <w:rsid w:val="00663D3B"/>
    <w:rsid w:val="00663DF3"/>
    <w:rsid w:val="0066527A"/>
    <w:rsid w:val="006670D3"/>
    <w:rsid w:val="00671B1E"/>
    <w:rsid w:val="006734F0"/>
    <w:rsid w:val="00675DB2"/>
    <w:rsid w:val="006766E9"/>
    <w:rsid w:val="00681196"/>
    <w:rsid w:val="006820B4"/>
    <w:rsid w:val="00683813"/>
    <w:rsid w:val="006847B9"/>
    <w:rsid w:val="00691039"/>
    <w:rsid w:val="006915E1"/>
    <w:rsid w:val="00696E6B"/>
    <w:rsid w:val="006973B9"/>
    <w:rsid w:val="006A2DE5"/>
    <w:rsid w:val="006A6049"/>
    <w:rsid w:val="006A7FAD"/>
    <w:rsid w:val="006B01D0"/>
    <w:rsid w:val="006B0491"/>
    <w:rsid w:val="006B1ECF"/>
    <w:rsid w:val="006B32C6"/>
    <w:rsid w:val="006B3341"/>
    <w:rsid w:val="006B61CF"/>
    <w:rsid w:val="006C13C1"/>
    <w:rsid w:val="006C26EB"/>
    <w:rsid w:val="006C3243"/>
    <w:rsid w:val="006C3A4D"/>
    <w:rsid w:val="006C4BC4"/>
    <w:rsid w:val="006D0846"/>
    <w:rsid w:val="006D18A5"/>
    <w:rsid w:val="006D1CFB"/>
    <w:rsid w:val="006D1F37"/>
    <w:rsid w:val="006D288D"/>
    <w:rsid w:val="006D289E"/>
    <w:rsid w:val="006D3EF9"/>
    <w:rsid w:val="006D4997"/>
    <w:rsid w:val="006D4D87"/>
    <w:rsid w:val="006D4F7C"/>
    <w:rsid w:val="006D7247"/>
    <w:rsid w:val="006E0D62"/>
    <w:rsid w:val="006E1561"/>
    <w:rsid w:val="006E20A9"/>
    <w:rsid w:val="006E2D19"/>
    <w:rsid w:val="006E4F3B"/>
    <w:rsid w:val="006E5874"/>
    <w:rsid w:val="006E68A6"/>
    <w:rsid w:val="006E7F03"/>
    <w:rsid w:val="006F021B"/>
    <w:rsid w:val="006F3EFA"/>
    <w:rsid w:val="006F3FCC"/>
    <w:rsid w:val="006F5250"/>
    <w:rsid w:val="006F6077"/>
    <w:rsid w:val="006F6E25"/>
    <w:rsid w:val="007003C6"/>
    <w:rsid w:val="00700757"/>
    <w:rsid w:val="007024CE"/>
    <w:rsid w:val="00702E68"/>
    <w:rsid w:val="00703202"/>
    <w:rsid w:val="00703BAC"/>
    <w:rsid w:val="00704A54"/>
    <w:rsid w:val="0070564E"/>
    <w:rsid w:val="00705756"/>
    <w:rsid w:val="00706605"/>
    <w:rsid w:val="00707AD4"/>
    <w:rsid w:val="0071033F"/>
    <w:rsid w:val="00710AE2"/>
    <w:rsid w:val="00711EAD"/>
    <w:rsid w:val="007172AA"/>
    <w:rsid w:val="00717F51"/>
    <w:rsid w:val="00720C34"/>
    <w:rsid w:val="0072540B"/>
    <w:rsid w:val="00726B4B"/>
    <w:rsid w:val="00730611"/>
    <w:rsid w:val="0073175A"/>
    <w:rsid w:val="0073572E"/>
    <w:rsid w:val="0073660A"/>
    <w:rsid w:val="00743099"/>
    <w:rsid w:val="007438FF"/>
    <w:rsid w:val="00745364"/>
    <w:rsid w:val="00745EAE"/>
    <w:rsid w:val="00747D53"/>
    <w:rsid w:val="00754212"/>
    <w:rsid w:val="007549A3"/>
    <w:rsid w:val="00754F73"/>
    <w:rsid w:val="00755974"/>
    <w:rsid w:val="00761BF5"/>
    <w:rsid w:val="00762292"/>
    <w:rsid w:val="0076245C"/>
    <w:rsid w:val="00762F80"/>
    <w:rsid w:val="00764A61"/>
    <w:rsid w:val="00766788"/>
    <w:rsid w:val="007671E1"/>
    <w:rsid w:val="00767A05"/>
    <w:rsid w:val="00776428"/>
    <w:rsid w:val="00777350"/>
    <w:rsid w:val="00777A36"/>
    <w:rsid w:val="00781271"/>
    <w:rsid w:val="00781429"/>
    <w:rsid w:val="00781A52"/>
    <w:rsid w:val="00781E3C"/>
    <w:rsid w:val="0078335A"/>
    <w:rsid w:val="00791DBD"/>
    <w:rsid w:val="00792EF4"/>
    <w:rsid w:val="00794C4D"/>
    <w:rsid w:val="00794F5B"/>
    <w:rsid w:val="007958AF"/>
    <w:rsid w:val="0079680B"/>
    <w:rsid w:val="00797A8F"/>
    <w:rsid w:val="007A0261"/>
    <w:rsid w:val="007A44D1"/>
    <w:rsid w:val="007A71D0"/>
    <w:rsid w:val="007B0336"/>
    <w:rsid w:val="007B2300"/>
    <w:rsid w:val="007B5ADF"/>
    <w:rsid w:val="007B7A4F"/>
    <w:rsid w:val="007C033D"/>
    <w:rsid w:val="007C05CA"/>
    <w:rsid w:val="007C118A"/>
    <w:rsid w:val="007C2C8F"/>
    <w:rsid w:val="007C33AE"/>
    <w:rsid w:val="007C6E2A"/>
    <w:rsid w:val="007C7B12"/>
    <w:rsid w:val="007D062B"/>
    <w:rsid w:val="007D18A4"/>
    <w:rsid w:val="007D1F5E"/>
    <w:rsid w:val="007D7157"/>
    <w:rsid w:val="007E3AA6"/>
    <w:rsid w:val="007F0317"/>
    <w:rsid w:val="007F47AB"/>
    <w:rsid w:val="007F73FF"/>
    <w:rsid w:val="007F7B21"/>
    <w:rsid w:val="008020FF"/>
    <w:rsid w:val="008023E5"/>
    <w:rsid w:val="00803BF9"/>
    <w:rsid w:val="00817D16"/>
    <w:rsid w:val="00817D4C"/>
    <w:rsid w:val="00821E9D"/>
    <w:rsid w:val="008222DB"/>
    <w:rsid w:val="008227BA"/>
    <w:rsid w:val="008228CE"/>
    <w:rsid w:val="00822A4F"/>
    <w:rsid w:val="0082341C"/>
    <w:rsid w:val="0082350A"/>
    <w:rsid w:val="00824D22"/>
    <w:rsid w:val="00825257"/>
    <w:rsid w:val="00826B3D"/>
    <w:rsid w:val="00830949"/>
    <w:rsid w:val="0083209F"/>
    <w:rsid w:val="008320A7"/>
    <w:rsid w:val="00832472"/>
    <w:rsid w:val="00832F08"/>
    <w:rsid w:val="00834939"/>
    <w:rsid w:val="0084010B"/>
    <w:rsid w:val="008401F3"/>
    <w:rsid w:val="00842F4D"/>
    <w:rsid w:val="008438CD"/>
    <w:rsid w:val="0084542B"/>
    <w:rsid w:val="008503EF"/>
    <w:rsid w:val="00850C93"/>
    <w:rsid w:val="00851099"/>
    <w:rsid w:val="0085203F"/>
    <w:rsid w:val="0085322F"/>
    <w:rsid w:val="008603CE"/>
    <w:rsid w:val="00861C6B"/>
    <w:rsid w:val="00861D9E"/>
    <w:rsid w:val="00871ED5"/>
    <w:rsid w:val="0087217C"/>
    <w:rsid w:val="00874014"/>
    <w:rsid w:val="00874670"/>
    <w:rsid w:val="00876560"/>
    <w:rsid w:val="008778B9"/>
    <w:rsid w:val="008825A4"/>
    <w:rsid w:val="00885D3B"/>
    <w:rsid w:val="0088625A"/>
    <w:rsid w:val="00886390"/>
    <w:rsid w:val="008866D6"/>
    <w:rsid w:val="008870CA"/>
    <w:rsid w:val="008929F0"/>
    <w:rsid w:val="00893CF6"/>
    <w:rsid w:val="008944D2"/>
    <w:rsid w:val="008A1DB7"/>
    <w:rsid w:val="008A211D"/>
    <w:rsid w:val="008A382F"/>
    <w:rsid w:val="008A3A1D"/>
    <w:rsid w:val="008B19A2"/>
    <w:rsid w:val="008B3B4C"/>
    <w:rsid w:val="008B46BC"/>
    <w:rsid w:val="008B4BA0"/>
    <w:rsid w:val="008B6F53"/>
    <w:rsid w:val="008C1600"/>
    <w:rsid w:val="008C1DBB"/>
    <w:rsid w:val="008C2065"/>
    <w:rsid w:val="008C2CD5"/>
    <w:rsid w:val="008C3144"/>
    <w:rsid w:val="008C431D"/>
    <w:rsid w:val="008C4E7A"/>
    <w:rsid w:val="008C5D8E"/>
    <w:rsid w:val="008C75FF"/>
    <w:rsid w:val="008D0302"/>
    <w:rsid w:val="008D46AC"/>
    <w:rsid w:val="008D4EA4"/>
    <w:rsid w:val="008D5063"/>
    <w:rsid w:val="008D543A"/>
    <w:rsid w:val="008D6391"/>
    <w:rsid w:val="008D641D"/>
    <w:rsid w:val="008D6684"/>
    <w:rsid w:val="008E1555"/>
    <w:rsid w:val="008E1A13"/>
    <w:rsid w:val="008E40EB"/>
    <w:rsid w:val="008F1165"/>
    <w:rsid w:val="008F4F5F"/>
    <w:rsid w:val="008F54BC"/>
    <w:rsid w:val="009008B5"/>
    <w:rsid w:val="00905107"/>
    <w:rsid w:val="009062C0"/>
    <w:rsid w:val="00907CA7"/>
    <w:rsid w:val="00910860"/>
    <w:rsid w:val="009143AA"/>
    <w:rsid w:val="00921F4B"/>
    <w:rsid w:val="009236C0"/>
    <w:rsid w:val="009261DF"/>
    <w:rsid w:val="00926FD7"/>
    <w:rsid w:val="00932330"/>
    <w:rsid w:val="00934943"/>
    <w:rsid w:val="009353FB"/>
    <w:rsid w:val="00935FF0"/>
    <w:rsid w:val="0094084F"/>
    <w:rsid w:val="00944367"/>
    <w:rsid w:val="009457BF"/>
    <w:rsid w:val="009462F8"/>
    <w:rsid w:val="00946542"/>
    <w:rsid w:val="00946ADE"/>
    <w:rsid w:val="00951A3A"/>
    <w:rsid w:val="00953A91"/>
    <w:rsid w:val="00962617"/>
    <w:rsid w:val="00963C30"/>
    <w:rsid w:val="00964B5D"/>
    <w:rsid w:val="009650D7"/>
    <w:rsid w:val="00970D04"/>
    <w:rsid w:val="00970E9F"/>
    <w:rsid w:val="00977AB4"/>
    <w:rsid w:val="00982550"/>
    <w:rsid w:val="00984453"/>
    <w:rsid w:val="009855CE"/>
    <w:rsid w:val="00986C0F"/>
    <w:rsid w:val="00987D85"/>
    <w:rsid w:val="00992692"/>
    <w:rsid w:val="00993DA7"/>
    <w:rsid w:val="00994705"/>
    <w:rsid w:val="009A0C09"/>
    <w:rsid w:val="009A20CD"/>
    <w:rsid w:val="009A22C3"/>
    <w:rsid w:val="009A7F44"/>
    <w:rsid w:val="009B30DE"/>
    <w:rsid w:val="009B35C9"/>
    <w:rsid w:val="009B64D1"/>
    <w:rsid w:val="009B6544"/>
    <w:rsid w:val="009B6A6B"/>
    <w:rsid w:val="009B764C"/>
    <w:rsid w:val="009B7E23"/>
    <w:rsid w:val="009C3978"/>
    <w:rsid w:val="009C438F"/>
    <w:rsid w:val="009C4CAE"/>
    <w:rsid w:val="009C4F31"/>
    <w:rsid w:val="009D0D80"/>
    <w:rsid w:val="009D560D"/>
    <w:rsid w:val="009D5BBB"/>
    <w:rsid w:val="009E0095"/>
    <w:rsid w:val="009E0D63"/>
    <w:rsid w:val="009E1746"/>
    <w:rsid w:val="009E45AE"/>
    <w:rsid w:val="009F0202"/>
    <w:rsid w:val="009F12AE"/>
    <w:rsid w:val="009F2E34"/>
    <w:rsid w:val="009F2FE6"/>
    <w:rsid w:val="009F4A37"/>
    <w:rsid w:val="009F7459"/>
    <w:rsid w:val="00A018F1"/>
    <w:rsid w:val="00A05749"/>
    <w:rsid w:val="00A0702E"/>
    <w:rsid w:val="00A118A6"/>
    <w:rsid w:val="00A16D57"/>
    <w:rsid w:val="00A1734D"/>
    <w:rsid w:val="00A17EA8"/>
    <w:rsid w:val="00A17EEC"/>
    <w:rsid w:val="00A22321"/>
    <w:rsid w:val="00A22779"/>
    <w:rsid w:val="00A24466"/>
    <w:rsid w:val="00A25A77"/>
    <w:rsid w:val="00A27494"/>
    <w:rsid w:val="00A30958"/>
    <w:rsid w:val="00A33B14"/>
    <w:rsid w:val="00A356BB"/>
    <w:rsid w:val="00A361F6"/>
    <w:rsid w:val="00A363AC"/>
    <w:rsid w:val="00A368FF"/>
    <w:rsid w:val="00A460F4"/>
    <w:rsid w:val="00A47600"/>
    <w:rsid w:val="00A47A13"/>
    <w:rsid w:val="00A53BDB"/>
    <w:rsid w:val="00A543F0"/>
    <w:rsid w:val="00A55C8D"/>
    <w:rsid w:val="00A64446"/>
    <w:rsid w:val="00A647D9"/>
    <w:rsid w:val="00A64F32"/>
    <w:rsid w:val="00A65564"/>
    <w:rsid w:val="00A661B2"/>
    <w:rsid w:val="00A70478"/>
    <w:rsid w:val="00A711D9"/>
    <w:rsid w:val="00A71D50"/>
    <w:rsid w:val="00A72E7B"/>
    <w:rsid w:val="00A73F68"/>
    <w:rsid w:val="00A76CE9"/>
    <w:rsid w:val="00A81531"/>
    <w:rsid w:val="00A83BAC"/>
    <w:rsid w:val="00A85423"/>
    <w:rsid w:val="00A86857"/>
    <w:rsid w:val="00A870C9"/>
    <w:rsid w:val="00A873FD"/>
    <w:rsid w:val="00A92F12"/>
    <w:rsid w:val="00A93B5B"/>
    <w:rsid w:val="00A94906"/>
    <w:rsid w:val="00A9669A"/>
    <w:rsid w:val="00A96F41"/>
    <w:rsid w:val="00AA3194"/>
    <w:rsid w:val="00AA61D0"/>
    <w:rsid w:val="00AB2DDA"/>
    <w:rsid w:val="00AB46F9"/>
    <w:rsid w:val="00AB50E2"/>
    <w:rsid w:val="00AB740C"/>
    <w:rsid w:val="00AB7D18"/>
    <w:rsid w:val="00AB7D39"/>
    <w:rsid w:val="00AC060F"/>
    <w:rsid w:val="00AC56D5"/>
    <w:rsid w:val="00AC6238"/>
    <w:rsid w:val="00AD0D1A"/>
    <w:rsid w:val="00AD580D"/>
    <w:rsid w:val="00AD6733"/>
    <w:rsid w:val="00AD7B91"/>
    <w:rsid w:val="00AE1048"/>
    <w:rsid w:val="00AE1151"/>
    <w:rsid w:val="00AE1FA2"/>
    <w:rsid w:val="00AE6471"/>
    <w:rsid w:val="00AE732E"/>
    <w:rsid w:val="00AF11A0"/>
    <w:rsid w:val="00AF4EF6"/>
    <w:rsid w:val="00AF55C3"/>
    <w:rsid w:val="00B01411"/>
    <w:rsid w:val="00B071FF"/>
    <w:rsid w:val="00B07B92"/>
    <w:rsid w:val="00B11D5A"/>
    <w:rsid w:val="00B12DB0"/>
    <w:rsid w:val="00B1357F"/>
    <w:rsid w:val="00B146BD"/>
    <w:rsid w:val="00B14BC5"/>
    <w:rsid w:val="00B24E9C"/>
    <w:rsid w:val="00B303A9"/>
    <w:rsid w:val="00B3067F"/>
    <w:rsid w:val="00B45549"/>
    <w:rsid w:val="00B478F2"/>
    <w:rsid w:val="00B52BA6"/>
    <w:rsid w:val="00B553CF"/>
    <w:rsid w:val="00B600F9"/>
    <w:rsid w:val="00B61F35"/>
    <w:rsid w:val="00B62812"/>
    <w:rsid w:val="00B639BE"/>
    <w:rsid w:val="00B669FA"/>
    <w:rsid w:val="00B671BC"/>
    <w:rsid w:val="00B70F6F"/>
    <w:rsid w:val="00B74558"/>
    <w:rsid w:val="00B801E0"/>
    <w:rsid w:val="00B817D4"/>
    <w:rsid w:val="00B82338"/>
    <w:rsid w:val="00B85659"/>
    <w:rsid w:val="00B92C74"/>
    <w:rsid w:val="00B93671"/>
    <w:rsid w:val="00B95E15"/>
    <w:rsid w:val="00B976FA"/>
    <w:rsid w:val="00B97E34"/>
    <w:rsid w:val="00BA6C9F"/>
    <w:rsid w:val="00BB4369"/>
    <w:rsid w:val="00BB602A"/>
    <w:rsid w:val="00BB7727"/>
    <w:rsid w:val="00BC2D73"/>
    <w:rsid w:val="00BC6C37"/>
    <w:rsid w:val="00BC6E3D"/>
    <w:rsid w:val="00BD1C70"/>
    <w:rsid w:val="00BD409E"/>
    <w:rsid w:val="00BD4C30"/>
    <w:rsid w:val="00BD4D8E"/>
    <w:rsid w:val="00BD66DB"/>
    <w:rsid w:val="00BD7A62"/>
    <w:rsid w:val="00BE3674"/>
    <w:rsid w:val="00BE476B"/>
    <w:rsid w:val="00BE5DBB"/>
    <w:rsid w:val="00BF19BA"/>
    <w:rsid w:val="00BF38A6"/>
    <w:rsid w:val="00BF711B"/>
    <w:rsid w:val="00BF7547"/>
    <w:rsid w:val="00C0134B"/>
    <w:rsid w:val="00C02EFF"/>
    <w:rsid w:val="00C036B8"/>
    <w:rsid w:val="00C04881"/>
    <w:rsid w:val="00C07497"/>
    <w:rsid w:val="00C117BD"/>
    <w:rsid w:val="00C12BD1"/>
    <w:rsid w:val="00C20AF5"/>
    <w:rsid w:val="00C20B7E"/>
    <w:rsid w:val="00C21B3E"/>
    <w:rsid w:val="00C22320"/>
    <w:rsid w:val="00C24C23"/>
    <w:rsid w:val="00C255E5"/>
    <w:rsid w:val="00C2599F"/>
    <w:rsid w:val="00C25AF8"/>
    <w:rsid w:val="00C304D3"/>
    <w:rsid w:val="00C30754"/>
    <w:rsid w:val="00C30C57"/>
    <w:rsid w:val="00C310E1"/>
    <w:rsid w:val="00C31BFD"/>
    <w:rsid w:val="00C320BF"/>
    <w:rsid w:val="00C34BFF"/>
    <w:rsid w:val="00C35FCD"/>
    <w:rsid w:val="00C376B9"/>
    <w:rsid w:val="00C424F9"/>
    <w:rsid w:val="00C43DDA"/>
    <w:rsid w:val="00C4650E"/>
    <w:rsid w:val="00C465E6"/>
    <w:rsid w:val="00C51C0F"/>
    <w:rsid w:val="00C51CBA"/>
    <w:rsid w:val="00C52227"/>
    <w:rsid w:val="00C526E3"/>
    <w:rsid w:val="00C5371B"/>
    <w:rsid w:val="00C53FE5"/>
    <w:rsid w:val="00C5455D"/>
    <w:rsid w:val="00C56546"/>
    <w:rsid w:val="00C56C01"/>
    <w:rsid w:val="00C57A14"/>
    <w:rsid w:val="00C57C66"/>
    <w:rsid w:val="00C629D6"/>
    <w:rsid w:val="00C64DEE"/>
    <w:rsid w:val="00C65436"/>
    <w:rsid w:val="00C65794"/>
    <w:rsid w:val="00C711C1"/>
    <w:rsid w:val="00C72A69"/>
    <w:rsid w:val="00C74F48"/>
    <w:rsid w:val="00C76DA1"/>
    <w:rsid w:val="00C777E7"/>
    <w:rsid w:val="00C82716"/>
    <w:rsid w:val="00C830B2"/>
    <w:rsid w:val="00C874E3"/>
    <w:rsid w:val="00C945EF"/>
    <w:rsid w:val="00C97C97"/>
    <w:rsid w:val="00CA1BAC"/>
    <w:rsid w:val="00CA500A"/>
    <w:rsid w:val="00CA5747"/>
    <w:rsid w:val="00CB0476"/>
    <w:rsid w:val="00CB209F"/>
    <w:rsid w:val="00CB4160"/>
    <w:rsid w:val="00CB5060"/>
    <w:rsid w:val="00CB5212"/>
    <w:rsid w:val="00CB7A61"/>
    <w:rsid w:val="00CC64FC"/>
    <w:rsid w:val="00CC6C2D"/>
    <w:rsid w:val="00CD16EA"/>
    <w:rsid w:val="00CD5E73"/>
    <w:rsid w:val="00CE382F"/>
    <w:rsid w:val="00CE4156"/>
    <w:rsid w:val="00CE485E"/>
    <w:rsid w:val="00CE6476"/>
    <w:rsid w:val="00CF2433"/>
    <w:rsid w:val="00CF2A72"/>
    <w:rsid w:val="00CF2F00"/>
    <w:rsid w:val="00CF469B"/>
    <w:rsid w:val="00CF5AD7"/>
    <w:rsid w:val="00D0017C"/>
    <w:rsid w:val="00D00257"/>
    <w:rsid w:val="00D0037D"/>
    <w:rsid w:val="00D004D1"/>
    <w:rsid w:val="00D03950"/>
    <w:rsid w:val="00D05283"/>
    <w:rsid w:val="00D057E9"/>
    <w:rsid w:val="00D07E8D"/>
    <w:rsid w:val="00D10CDE"/>
    <w:rsid w:val="00D12C0F"/>
    <w:rsid w:val="00D13CE7"/>
    <w:rsid w:val="00D1462E"/>
    <w:rsid w:val="00D1473C"/>
    <w:rsid w:val="00D16B31"/>
    <w:rsid w:val="00D23362"/>
    <w:rsid w:val="00D24720"/>
    <w:rsid w:val="00D24B5A"/>
    <w:rsid w:val="00D24DAF"/>
    <w:rsid w:val="00D277A7"/>
    <w:rsid w:val="00D301CC"/>
    <w:rsid w:val="00D30EED"/>
    <w:rsid w:val="00D33BA1"/>
    <w:rsid w:val="00D36997"/>
    <w:rsid w:val="00D4685E"/>
    <w:rsid w:val="00D47999"/>
    <w:rsid w:val="00D502FD"/>
    <w:rsid w:val="00D51D9D"/>
    <w:rsid w:val="00D53267"/>
    <w:rsid w:val="00D53493"/>
    <w:rsid w:val="00D5524E"/>
    <w:rsid w:val="00D63EDB"/>
    <w:rsid w:val="00D64E84"/>
    <w:rsid w:val="00D66867"/>
    <w:rsid w:val="00D67FB7"/>
    <w:rsid w:val="00D70658"/>
    <w:rsid w:val="00D70DAC"/>
    <w:rsid w:val="00D711FD"/>
    <w:rsid w:val="00D7290E"/>
    <w:rsid w:val="00D73726"/>
    <w:rsid w:val="00D77057"/>
    <w:rsid w:val="00D825E0"/>
    <w:rsid w:val="00D832F6"/>
    <w:rsid w:val="00D83E9F"/>
    <w:rsid w:val="00D86AC0"/>
    <w:rsid w:val="00D87571"/>
    <w:rsid w:val="00D936E4"/>
    <w:rsid w:val="00D9451B"/>
    <w:rsid w:val="00D951FD"/>
    <w:rsid w:val="00D962A6"/>
    <w:rsid w:val="00D96ECB"/>
    <w:rsid w:val="00D975B0"/>
    <w:rsid w:val="00DA0BF3"/>
    <w:rsid w:val="00DA7DF7"/>
    <w:rsid w:val="00DB0C1F"/>
    <w:rsid w:val="00DB150A"/>
    <w:rsid w:val="00DB427A"/>
    <w:rsid w:val="00DC12CD"/>
    <w:rsid w:val="00DC139A"/>
    <w:rsid w:val="00DC3ED0"/>
    <w:rsid w:val="00DC540B"/>
    <w:rsid w:val="00DC7857"/>
    <w:rsid w:val="00DC7BDC"/>
    <w:rsid w:val="00DD25DA"/>
    <w:rsid w:val="00DD4624"/>
    <w:rsid w:val="00DD774D"/>
    <w:rsid w:val="00DE0516"/>
    <w:rsid w:val="00DE0D5B"/>
    <w:rsid w:val="00DE1B63"/>
    <w:rsid w:val="00DE4791"/>
    <w:rsid w:val="00DE56C0"/>
    <w:rsid w:val="00DE7570"/>
    <w:rsid w:val="00DF03BD"/>
    <w:rsid w:val="00DF0924"/>
    <w:rsid w:val="00DF135A"/>
    <w:rsid w:val="00DF34E1"/>
    <w:rsid w:val="00DF479C"/>
    <w:rsid w:val="00DF6117"/>
    <w:rsid w:val="00E0111B"/>
    <w:rsid w:val="00E04CB8"/>
    <w:rsid w:val="00E06811"/>
    <w:rsid w:val="00E10F69"/>
    <w:rsid w:val="00E11D19"/>
    <w:rsid w:val="00E15663"/>
    <w:rsid w:val="00E20C0F"/>
    <w:rsid w:val="00E21AF0"/>
    <w:rsid w:val="00E2293A"/>
    <w:rsid w:val="00E233AC"/>
    <w:rsid w:val="00E2547E"/>
    <w:rsid w:val="00E26832"/>
    <w:rsid w:val="00E27022"/>
    <w:rsid w:val="00E3074E"/>
    <w:rsid w:val="00E30AE8"/>
    <w:rsid w:val="00E30D1A"/>
    <w:rsid w:val="00E30EFE"/>
    <w:rsid w:val="00E318B3"/>
    <w:rsid w:val="00E3640F"/>
    <w:rsid w:val="00E37D1A"/>
    <w:rsid w:val="00E4002C"/>
    <w:rsid w:val="00E415FF"/>
    <w:rsid w:val="00E434A6"/>
    <w:rsid w:val="00E45D27"/>
    <w:rsid w:val="00E47C23"/>
    <w:rsid w:val="00E51FE2"/>
    <w:rsid w:val="00E57097"/>
    <w:rsid w:val="00E572D1"/>
    <w:rsid w:val="00E7008E"/>
    <w:rsid w:val="00E703EC"/>
    <w:rsid w:val="00E70C3A"/>
    <w:rsid w:val="00E7247F"/>
    <w:rsid w:val="00E742A5"/>
    <w:rsid w:val="00E7533F"/>
    <w:rsid w:val="00E75820"/>
    <w:rsid w:val="00E81623"/>
    <w:rsid w:val="00E82194"/>
    <w:rsid w:val="00E82C39"/>
    <w:rsid w:val="00E83503"/>
    <w:rsid w:val="00E839DC"/>
    <w:rsid w:val="00E849A3"/>
    <w:rsid w:val="00E85496"/>
    <w:rsid w:val="00E85845"/>
    <w:rsid w:val="00E85EEB"/>
    <w:rsid w:val="00E86242"/>
    <w:rsid w:val="00E86614"/>
    <w:rsid w:val="00E867C8"/>
    <w:rsid w:val="00E90B6D"/>
    <w:rsid w:val="00E910FA"/>
    <w:rsid w:val="00E9345A"/>
    <w:rsid w:val="00E9445C"/>
    <w:rsid w:val="00E94B42"/>
    <w:rsid w:val="00E95339"/>
    <w:rsid w:val="00EA1FEF"/>
    <w:rsid w:val="00EA71FF"/>
    <w:rsid w:val="00EA7D1C"/>
    <w:rsid w:val="00EB1F00"/>
    <w:rsid w:val="00EB2040"/>
    <w:rsid w:val="00EB30FF"/>
    <w:rsid w:val="00EB489C"/>
    <w:rsid w:val="00EC0EE8"/>
    <w:rsid w:val="00EC3960"/>
    <w:rsid w:val="00EC7A0E"/>
    <w:rsid w:val="00ED3A0C"/>
    <w:rsid w:val="00ED6289"/>
    <w:rsid w:val="00ED6893"/>
    <w:rsid w:val="00ED6F3C"/>
    <w:rsid w:val="00EE1BAA"/>
    <w:rsid w:val="00EE6606"/>
    <w:rsid w:val="00EF0C59"/>
    <w:rsid w:val="00EF1A91"/>
    <w:rsid w:val="00EF5A75"/>
    <w:rsid w:val="00EF6A8A"/>
    <w:rsid w:val="00F02205"/>
    <w:rsid w:val="00F02829"/>
    <w:rsid w:val="00F03BB0"/>
    <w:rsid w:val="00F05050"/>
    <w:rsid w:val="00F078C3"/>
    <w:rsid w:val="00F11122"/>
    <w:rsid w:val="00F1775F"/>
    <w:rsid w:val="00F22C58"/>
    <w:rsid w:val="00F27EE7"/>
    <w:rsid w:val="00F32366"/>
    <w:rsid w:val="00F32791"/>
    <w:rsid w:val="00F33D49"/>
    <w:rsid w:val="00F37352"/>
    <w:rsid w:val="00F37A06"/>
    <w:rsid w:val="00F40D52"/>
    <w:rsid w:val="00F41BC9"/>
    <w:rsid w:val="00F43190"/>
    <w:rsid w:val="00F438DA"/>
    <w:rsid w:val="00F462EB"/>
    <w:rsid w:val="00F47436"/>
    <w:rsid w:val="00F47533"/>
    <w:rsid w:val="00F55400"/>
    <w:rsid w:val="00F6466E"/>
    <w:rsid w:val="00F653E7"/>
    <w:rsid w:val="00F66C3E"/>
    <w:rsid w:val="00F677AF"/>
    <w:rsid w:val="00F715F1"/>
    <w:rsid w:val="00F732FE"/>
    <w:rsid w:val="00F77C2D"/>
    <w:rsid w:val="00F808ED"/>
    <w:rsid w:val="00F82572"/>
    <w:rsid w:val="00F83722"/>
    <w:rsid w:val="00F84B7D"/>
    <w:rsid w:val="00F852A7"/>
    <w:rsid w:val="00F86B81"/>
    <w:rsid w:val="00F90C15"/>
    <w:rsid w:val="00F9122C"/>
    <w:rsid w:val="00F92137"/>
    <w:rsid w:val="00F948C2"/>
    <w:rsid w:val="00FA221B"/>
    <w:rsid w:val="00FA2F3B"/>
    <w:rsid w:val="00FA39F2"/>
    <w:rsid w:val="00FA54B3"/>
    <w:rsid w:val="00FA5639"/>
    <w:rsid w:val="00FA7E76"/>
    <w:rsid w:val="00FB4134"/>
    <w:rsid w:val="00FC33E1"/>
    <w:rsid w:val="00FC5EC6"/>
    <w:rsid w:val="00FD030B"/>
    <w:rsid w:val="00FD0C88"/>
    <w:rsid w:val="00FD548F"/>
    <w:rsid w:val="00FE1BFD"/>
    <w:rsid w:val="00FE3307"/>
    <w:rsid w:val="00FE38B2"/>
    <w:rsid w:val="00FE3C4C"/>
    <w:rsid w:val="00FE792F"/>
    <w:rsid w:val="00FF1395"/>
    <w:rsid w:val="00FF36A6"/>
    <w:rsid w:val="00FF393C"/>
    <w:rsid w:val="00FF40B9"/>
    <w:rsid w:val="00FF4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0F6E8"/>
  <w15:docId w15:val="{E27F4628-CF08-483C-A524-7254C349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link w:val="ZchnZchn"/>
    <w:qFormat/>
    <w:rsid w:val="006B01D0"/>
    <w:pPr>
      <w:jc w:val="both"/>
    </w:pPr>
    <w:rPr>
      <w:rFonts w:ascii="Arial" w:hAnsi="Arial" w:cs="Arial"/>
      <w:sz w:val="22"/>
      <w:szCs w:val="22"/>
      <w:lang w:eastAsia="de-DE"/>
    </w:rPr>
  </w:style>
  <w:style w:type="paragraph" w:styleId="berschrift1">
    <w:name w:val="heading 1"/>
    <w:basedOn w:val="Standard"/>
    <w:next w:val="Standard"/>
    <w:qFormat/>
    <w:rsid w:val="006B01D0"/>
    <w:pPr>
      <w:keepNext/>
      <w:suppressAutoHyphens/>
      <w:outlineLvl w:val="0"/>
    </w:pPr>
    <w:rPr>
      <w:b/>
      <w:sz w:val="30"/>
      <w:u w:val="single"/>
    </w:rPr>
  </w:style>
  <w:style w:type="paragraph" w:styleId="berschrift2">
    <w:name w:val="heading 2"/>
    <w:basedOn w:val="Standard"/>
    <w:next w:val="Standard"/>
    <w:qFormat/>
    <w:rsid w:val="006B01D0"/>
    <w:pPr>
      <w:tabs>
        <w:tab w:val="left" w:pos="709"/>
      </w:tabs>
      <w:ind w:left="709" w:hanging="709"/>
      <w:jc w:val="left"/>
      <w:outlineLvl w:val="1"/>
    </w:pPr>
    <w:rPr>
      <w:b/>
      <w:sz w:val="28"/>
      <w:lang w:eastAsia="fr-FR"/>
    </w:rPr>
  </w:style>
  <w:style w:type="paragraph" w:styleId="berschrift3">
    <w:name w:val="heading 3"/>
    <w:basedOn w:val="Standard"/>
    <w:next w:val="Standard"/>
    <w:link w:val="berschrift3Zchn"/>
    <w:qFormat/>
    <w:rsid w:val="00252C08"/>
    <w:pPr>
      <w:tabs>
        <w:tab w:val="left" w:pos="709"/>
      </w:tabs>
      <w:ind w:left="709" w:hanging="709"/>
      <w:outlineLvl w:val="2"/>
    </w:pPr>
    <w:rPr>
      <w:b/>
      <w:bCs/>
      <w:sz w:val="26"/>
      <w:szCs w:val="26"/>
    </w:rPr>
  </w:style>
  <w:style w:type="paragraph" w:styleId="berschrift4">
    <w:name w:val="heading 4"/>
    <w:basedOn w:val="Standard"/>
    <w:next w:val="Standard"/>
    <w:link w:val="berschrift4Zchn"/>
    <w:qFormat/>
    <w:rsid w:val="006B01D0"/>
    <w:pPr>
      <w:tabs>
        <w:tab w:val="left" w:pos="709"/>
      </w:tabs>
      <w:ind w:left="709" w:hanging="709"/>
      <w:outlineLvl w:val="3"/>
    </w:pPr>
    <w:rPr>
      <w:b/>
      <w:sz w:val="24"/>
    </w:rPr>
  </w:style>
  <w:style w:type="paragraph" w:styleId="berschrift5">
    <w:name w:val="heading 5"/>
    <w:basedOn w:val="Standard"/>
    <w:next w:val="Standard"/>
    <w:qFormat/>
    <w:rsid w:val="006B01D0"/>
    <w:pPr>
      <w:outlineLvl w:val="4"/>
    </w:pPr>
    <w:rPr>
      <w:b/>
    </w:rPr>
  </w:style>
  <w:style w:type="paragraph" w:styleId="berschrift9">
    <w:name w:val="heading 9"/>
    <w:basedOn w:val="Standard"/>
    <w:next w:val="Standard"/>
    <w:link w:val="berschrift9Zchn"/>
    <w:qFormat/>
    <w:rsid w:val="006B01D0"/>
    <w:pPr>
      <w:keepNext/>
      <w:ind w:left="426" w:hanging="426"/>
      <w:outlineLvl w:val="8"/>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SFA1">
    <w:name w:val="Titel SFA 1"/>
    <w:basedOn w:val="Standard"/>
    <w:next w:val="Standard"/>
    <w:pPr>
      <w:jc w:val="left"/>
    </w:pPr>
    <w:rPr>
      <w:b/>
      <w:sz w:val="30"/>
    </w:rPr>
  </w:style>
  <w:style w:type="paragraph" w:customStyle="1" w:styleId="Titel2">
    <w:name w:val="Titel 2"/>
    <w:basedOn w:val="Standard"/>
    <w:next w:val="Standard"/>
    <w:pPr>
      <w:jc w:val="left"/>
    </w:pPr>
    <w:rPr>
      <w:b/>
      <w:bCs/>
      <w:sz w:val="28"/>
      <w:szCs w:val="20"/>
    </w:rPr>
  </w:style>
  <w:style w:type="paragraph" w:customStyle="1" w:styleId="Titel1">
    <w:name w:val="Titel 1"/>
    <w:basedOn w:val="Standard"/>
    <w:next w:val="Standard"/>
    <w:pPr>
      <w:jc w:val="left"/>
    </w:pPr>
    <w:rPr>
      <w:b/>
      <w:sz w:val="30"/>
    </w:rPr>
  </w:style>
  <w:style w:type="paragraph" w:customStyle="1" w:styleId="Ueberschrift4">
    <w:name w:val="Ueberschrift 4"/>
    <w:basedOn w:val="Standard"/>
    <w:next w:val="Standard"/>
    <w:pPr>
      <w:numPr>
        <w:numId w:val="2"/>
      </w:numPr>
      <w:jc w:val="left"/>
    </w:pPr>
    <w:rPr>
      <w:b/>
      <w:sz w:val="24"/>
    </w:rPr>
  </w:style>
  <w:style w:type="paragraph" w:customStyle="1" w:styleId="Einzug2">
    <w:name w:val="Einzug 2"/>
    <w:basedOn w:val="Standard"/>
    <w:next w:val="Standard"/>
    <w:pPr>
      <w:tabs>
        <w:tab w:val="left" w:pos="709"/>
        <w:tab w:val="left" w:pos="992"/>
      </w:tabs>
      <w:ind w:left="993" w:hanging="284"/>
    </w:pPr>
  </w:style>
  <w:style w:type="paragraph" w:customStyle="1" w:styleId="Einzug3">
    <w:name w:val="Einzug 3"/>
    <w:basedOn w:val="Standard"/>
    <w:next w:val="Standard"/>
    <w:pPr>
      <w:numPr>
        <w:numId w:val="4"/>
      </w:numPr>
      <w:tabs>
        <w:tab w:val="left" w:pos="992"/>
      </w:tabs>
    </w:pPr>
  </w:style>
  <w:style w:type="paragraph" w:customStyle="1" w:styleId="Ueberschrift5">
    <w:name w:val="Ueberschrift 5"/>
    <w:basedOn w:val="Standard"/>
    <w:next w:val="Standard"/>
    <w:pPr>
      <w:tabs>
        <w:tab w:val="left" w:pos="709"/>
      </w:tabs>
      <w:ind w:left="709" w:hanging="709"/>
      <w:jc w:val="left"/>
    </w:pPr>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cs="Times New Roman"/>
    </w:rPr>
  </w:style>
  <w:style w:type="paragraph" w:styleId="Sprechblasentext">
    <w:name w:val="Balloon Text"/>
    <w:basedOn w:val="Standard"/>
    <w:semiHidden/>
    <w:rPr>
      <w:rFonts w:ascii="Times New Roman" w:hAnsi="Times New Roman" w:cs="Times New Roman"/>
      <w:sz w:val="16"/>
      <w:szCs w:val="16"/>
    </w:rPr>
  </w:style>
  <w:style w:type="table" w:customStyle="1" w:styleId="Tabellengitternetz">
    <w:name w:val="Tabellengitternetz"/>
    <w:basedOn w:val="NormaleTabelle"/>
    <w:rPr>
      <w:rFonts w:ascii="Arial" w:hAnsi="Arial"/>
      <w:snapToGrid w:val="0"/>
      <w:sz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1">
    <w:name w:val="Einzug 1"/>
    <w:basedOn w:val="Standard"/>
    <w:next w:val="Standard"/>
    <w:link w:val="Einzug1Zchn1"/>
    <w:pPr>
      <w:tabs>
        <w:tab w:val="left" w:pos="709"/>
      </w:tabs>
      <w:ind w:left="709" w:hanging="709"/>
    </w:pPr>
  </w:style>
  <w:style w:type="paragraph" w:styleId="Textkrper3">
    <w:name w:val="Body Text 3"/>
    <w:basedOn w:val="Standard"/>
    <w:pPr>
      <w:ind w:right="93"/>
    </w:pPr>
    <w:rPr>
      <w:rFonts w:ascii="Times New Roman" w:hAnsi="Times New Roman" w:cs="Times New Roman"/>
      <w:sz w:val="20"/>
      <w:szCs w:val="20"/>
    </w:rPr>
  </w:style>
  <w:style w:type="paragraph" w:customStyle="1" w:styleId="Lauftext12pt">
    <w:name w:val="Lauftext 12pt"/>
    <w:pPr>
      <w:spacing w:line="240" w:lineRule="exact"/>
      <w:jc w:val="both"/>
    </w:pPr>
    <w:rPr>
      <w:noProof/>
      <w:snapToGrid w:val="0"/>
      <w:lang w:eastAsia="fr-FR"/>
    </w:rPr>
  </w:style>
  <w:style w:type="character" w:customStyle="1" w:styleId="Einzug1Zchn">
    <w:name w:val="Einzug 1 Zchn"/>
    <w:basedOn w:val="Absatz-Standardschriftart"/>
    <w:locked/>
    <w:rPr>
      <w:rFonts w:ascii="Arial" w:hAnsi="Arial" w:cs="Arial"/>
      <w:sz w:val="22"/>
      <w:szCs w:val="22"/>
      <w:lang w:val="fr-CH" w:bidi="ar-SA"/>
    </w:rPr>
  </w:style>
  <w:style w:type="paragraph" w:styleId="Verzeichnis2">
    <w:name w:val="toc 2"/>
    <w:basedOn w:val="Standard"/>
    <w:next w:val="Standard"/>
    <w:autoRedefine/>
    <w:uiPriority w:val="39"/>
    <w:pPr>
      <w:tabs>
        <w:tab w:val="right" w:leader="dot" w:pos="9627"/>
      </w:tabs>
    </w:pPr>
  </w:style>
  <w:style w:type="paragraph" w:styleId="Verzeichnis3">
    <w:name w:val="toc 3"/>
    <w:basedOn w:val="Standard"/>
    <w:next w:val="Standard"/>
    <w:autoRedefine/>
    <w:uiPriority w:val="39"/>
    <w:pPr>
      <w:ind w:left="440"/>
    </w:pPr>
  </w:style>
  <w:style w:type="character" w:styleId="Hyperlink">
    <w:name w:val="Hyperlink"/>
    <w:basedOn w:val="Absatz-Standardschriftart"/>
    <w:uiPriority w:val="99"/>
    <w:rPr>
      <w:rFonts w:cs="Times New Roman"/>
      <w:color w:val="0000FF"/>
      <w:u w:val="single"/>
    </w:rPr>
  </w:style>
  <w:style w:type="paragraph" w:styleId="Funotentext">
    <w:name w:val="footnote text"/>
    <w:basedOn w:val="Standard"/>
    <w:link w:val="FunotentextZchn"/>
    <w:semiHidden/>
    <w:pPr>
      <w:jc w:val="left"/>
    </w:pPr>
    <w:rPr>
      <w:rFonts w:ascii="Times New Roman" w:hAnsi="Times New Roman" w:cs="Times New Roman"/>
      <w:sz w:val="20"/>
      <w:szCs w:val="20"/>
    </w:rPr>
  </w:style>
  <w:style w:type="character" w:styleId="Funotenzeichen">
    <w:name w:val="footnote reference"/>
    <w:basedOn w:val="Absatz-Standardschriftart"/>
    <w:semiHidden/>
    <w:rPr>
      <w:rFonts w:ascii="Arial" w:hAnsi="Arial" w:cs="Times New Roman"/>
      <w:vertAlign w:val="superscript"/>
    </w:rPr>
  </w:style>
  <w:style w:type="paragraph" w:customStyle="1" w:styleId="Auswahltext">
    <w:name w:val="Auswahltext"/>
    <w:basedOn w:val="Standard"/>
    <w:next w:val="Standard"/>
    <w:link w:val="AuswahltextZchn"/>
    <w:qFormat/>
    <w:rsid w:val="006B01D0"/>
    <w:rPr>
      <w:color w:val="FF0000"/>
    </w:rPr>
  </w:style>
  <w:style w:type="character" w:customStyle="1" w:styleId="AuswahltextZchn">
    <w:name w:val="Auswahltext Zchn"/>
    <w:basedOn w:val="Absatz-Standardschriftart"/>
    <w:link w:val="Auswahltext"/>
    <w:locked/>
    <w:rsid w:val="006B01D0"/>
    <w:rPr>
      <w:rFonts w:ascii="Arial" w:hAnsi="Arial" w:cs="Arial"/>
      <w:color w:val="FF0000"/>
      <w:sz w:val="22"/>
      <w:szCs w:val="22"/>
      <w:lang w:val="fr-CH" w:eastAsia="de-DE" w:bidi="ar-SA"/>
    </w:rPr>
  </w:style>
  <w:style w:type="character" w:customStyle="1" w:styleId="CarCar">
    <w:name w:val="Car Car"/>
    <w:basedOn w:val="Absatz-Standardschriftart"/>
    <w:locked/>
    <w:rPr>
      <w:rFonts w:ascii="Arial" w:hAnsi="Arial" w:cs="Arial"/>
      <w:b/>
      <w:bCs/>
      <w:sz w:val="26"/>
      <w:szCs w:val="26"/>
      <w:lang w:val="fr-CH" w:bidi="ar-SA"/>
    </w:rPr>
  </w:style>
  <w:style w:type="character" w:customStyle="1" w:styleId="tw4winMark">
    <w:name w:val="tw4winMark"/>
    <w:rPr>
      <w:rFonts w:ascii="Courier New" w:hAnsi="Courier New"/>
      <w:vanish/>
      <w:color w:val="800080"/>
      <w:sz w:val="24"/>
      <w:vertAlign w:val="subscript"/>
    </w:rPr>
  </w:style>
  <w:style w:type="paragraph" w:customStyle="1" w:styleId="StyleTitre2NonGras">
    <w:name w:val="Style Titre 2 + Non Gras"/>
    <w:basedOn w:val="berschrift2"/>
    <w:autoRedefine/>
    <w:pPr>
      <w:spacing w:after="120"/>
      <w:outlineLvl w:val="9"/>
    </w:pPr>
    <w:rPr>
      <w:bCs/>
      <w:iCs/>
    </w:rPr>
  </w:style>
  <w:style w:type="character" w:customStyle="1" w:styleId="ZchnZchn">
    <w:name w:val="Zchn Zchn"/>
    <w:basedOn w:val="Absatz-Standardschriftart"/>
    <w:locked/>
    <w:rPr>
      <w:rFonts w:ascii="Arial" w:hAnsi="Arial" w:cs="Arial"/>
      <w:b/>
      <w:bCs/>
      <w:iCs/>
      <w:sz w:val="28"/>
      <w:szCs w:val="28"/>
      <w:lang w:val="fr-CH" w:bidi="ar-SA"/>
    </w:rPr>
  </w:style>
  <w:style w:type="character" w:customStyle="1" w:styleId="StyleTitre2NonGrasCar">
    <w:name w:val="Style Titre 2 + Non Gras Car"/>
    <w:basedOn w:val="ZchnZchn"/>
    <w:locked/>
    <w:rsid w:val="00327FF7"/>
    <w:rPr>
      <w:rFonts w:ascii="Arial" w:hAnsi="Arial" w:cs="Arial"/>
      <w:b/>
      <w:bCs/>
      <w:iCs/>
      <w:sz w:val="28"/>
      <w:szCs w:val="28"/>
      <w:lang w:val="fr-CH"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StyleTitre3NonGras">
    <w:name w:val="Style Titre 3 + Non Gras"/>
    <w:basedOn w:val="berschrift3"/>
    <w:autoRedefine/>
    <w:rsid w:val="006322E0"/>
    <w:pPr>
      <w:outlineLvl w:val="9"/>
    </w:pPr>
    <w:rPr>
      <w:bCs w:val="0"/>
    </w:rPr>
  </w:style>
  <w:style w:type="character" w:customStyle="1" w:styleId="AuswahltextZchn1">
    <w:name w:val="Auswahltext Zchn1"/>
    <w:basedOn w:val="Absatz-Standardschriftart"/>
    <w:rsid w:val="0076245C"/>
    <w:rPr>
      <w:rFonts w:ascii="Arial" w:hAnsi="Arial" w:cs="Arial"/>
      <w:snapToGrid w:val="0"/>
      <w:color w:val="FF0000"/>
      <w:sz w:val="22"/>
      <w:szCs w:val="22"/>
      <w:lang w:val="fr-CH" w:eastAsia="fr-FR" w:bidi="ar-SA"/>
    </w:rPr>
  </w:style>
  <w:style w:type="character" w:customStyle="1" w:styleId="Einzug1Zchn1">
    <w:name w:val="Einzug 1 Zchn1"/>
    <w:basedOn w:val="Absatz-Standardschriftart"/>
    <w:link w:val="Einzug1"/>
    <w:rsid w:val="008D641D"/>
    <w:rPr>
      <w:rFonts w:ascii="Arial" w:hAnsi="Arial" w:cs="Arial"/>
      <w:snapToGrid w:val="0"/>
      <w:sz w:val="22"/>
      <w:szCs w:val="22"/>
      <w:lang w:val="fr-CH" w:eastAsia="fr-FR" w:bidi="ar-SA"/>
    </w:rPr>
  </w:style>
  <w:style w:type="character" w:customStyle="1" w:styleId="berschrift4Zchn">
    <w:name w:val="Überschrift 4 Zchn"/>
    <w:basedOn w:val="Absatz-Standardschriftart"/>
    <w:link w:val="berschrift4"/>
    <w:rsid w:val="006B01D0"/>
    <w:rPr>
      <w:rFonts w:ascii="Arial" w:hAnsi="Arial" w:cs="Arial"/>
      <w:b/>
      <w:sz w:val="24"/>
      <w:szCs w:val="22"/>
      <w:lang w:val="fr-CH" w:eastAsia="de-DE"/>
    </w:rPr>
  </w:style>
  <w:style w:type="paragraph" w:styleId="Verzeichnis1">
    <w:name w:val="toc 1"/>
    <w:basedOn w:val="Standard"/>
    <w:next w:val="Standard"/>
    <w:autoRedefine/>
    <w:semiHidden/>
    <w:rsid w:val="00CC64FC"/>
  </w:style>
  <w:style w:type="character" w:customStyle="1" w:styleId="berschrift9Zchn">
    <w:name w:val="Überschrift 9 Zchn"/>
    <w:basedOn w:val="Absatz-Standardschriftart"/>
    <w:link w:val="berschrift9"/>
    <w:rsid w:val="006B01D0"/>
    <w:rPr>
      <w:rFonts w:ascii="Arial" w:hAnsi="Arial" w:cs="Arial"/>
      <w:b/>
      <w:szCs w:val="22"/>
      <w:lang w:val="fr-CH" w:eastAsia="de-DE"/>
    </w:rPr>
  </w:style>
  <w:style w:type="paragraph" w:styleId="Textkrper">
    <w:name w:val="Body Text"/>
    <w:basedOn w:val="Standard"/>
    <w:link w:val="TextkrperZchn"/>
    <w:qFormat/>
    <w:rsid w:val="006B01D0"/>
    <w:pPr>
      <w:tabs>
        <w:tab w:val="left" w:pos="709"/>
      </w:tabs>
      <w:ind w:left="709" w:hanging="709"/>
    </w:pPr>
  </w:style>
  <w:style w:type="character" w:customStyle="1" w:styleId="TextkrperZchn">
    <w:name w:val="Textkörper Zchn"/>
    <w:basedOn w:val="Absatz-Standardschriftart"/>
    <w:link w:val="Textkrper"/>
    <w:rsid w:val="006B01D0"/>
    <w:rPr>
      <w:rFonts w:ascii="Arial" w:hAnsi="Arial" w:cs="Arial"/>
      <w:sz w:val="22"/>
      <w:szCs w:val="22"/>
      <w:lang w:val="fr-CH" w:eastAsia="de-DE" w:bidi="ar-SA"/>
    </w:rPr>
  </w:style>
  <w:style w:type="paragraph" w:styleId="Textkrper-Einzug2">
    <w:name w:val="Body Text Indent 2"/>
    <w:basedOn w:val="Standard"/>
    <w:next w:val="Standard"/>
    <w:link w:val="Textkrper-Einzug2Zchn"/>
    <w:qFormat/>
    <w:rsid w:val="006B01D0"/>
    <w:pPr>
      <w:tabs>
        <w:tab w:val="left" w:pos="1134"/>
      </w:tabs>
      <w:ind w:left="1134" w:hanging="425"/>
    </w:pPr>
  </w:style>
  <w:style w:type="character" w:customStyle="1" w:styleId="Textkrper-Einzug2Zchn">
    <w:name w:val="Textkörper-Einzug 2 Zchn"/>
    <w:basedOn w:val="Absatz-Standardschriftart"/>
    <w:link w:val="Textkrper-Einzug2"/>
    <w:rsid w:val="006B01D0"/>
    <w:rPr>
      <w:rFonts w:ascii="Arial" w:hAnsi="Arial" w:cs="Arial"/>
      <w:sz w:val="22"/>
      <w:szCs w:val="22"/>
      <w:lang w:val="fr-CH" w:eastAsia="de-DE" w:bidi="ar-SA"/>
    </w:rPr>
  </w:style>
  <w:style w:type="paragraph" w:styleId="Textkrper-Einzug3">
    <w:name w:val="Body Text Indent 3"/>
    <w:basedOn w:val="Standard"/>
    <w:next w:val="Standard"/>
    <w:link w:val="Textkrper-Einzug3Zchn"/>
    <w:qFormat/>
    <w:rsid w:val="006B01D0"/>
    <w:rPr>
      <w:lang w:eastAsia="fr-FR"/>
    </w:rPr>
  </w:style>
  <w:style w:type="character" w:customStyle="1" w:styleId="Textkrper-Einzug3Zchn">
    <w:name w:val="Textkörper-Einzug 3 Zchn"/>
    <w:basedOn w:val="Absatz-Standardschriftart"/>
    <w:link w:val="Textkrper-Einzug3"/>
    <w:rsid w:val="006B01D0"/>
    <w:rPr>
      <w:rFonts w:ascii="Arial" w:hAnsi="Arial" w:cs="Arial"/>
      <w:sz w:val="22"/>
      <w:szCs w:val="22"/>
      <w:lang w:val="fr-CH" w:eastAsia="fr-FR"/>
    </w:rPr>
  </w:style>
  <w:style w:type="paragraph" w:styleId="HTMLVorformatiert">
    <w:name w:val="HTML Preformatted"/>
    <w:basedOn w:val="Standard"/>
    <w:link w:val="HTMLVorformatiertZchn"/>
    <w:uiPriority w:val="99"/>
    <w:unhideWhenUsed/>
    <w:rsid w:val="00A33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VorformatiertZchn">
    <w:name w:val="HTML Vorformatiert Zchn"/>
    <w:basedOn w:val="Absatz-Standardschriftart"/>
    <w:link w:val="HTMLVorformatiert"/>
    <w:uiPriority w:val="99"/>
    <w:rsid w:val="00A33B14"/>
    <w:rPr>
      <w:rFonts w:ascii="Courier New" w:hAnsi="Courier New" w:cs="Courier New"/>
    </w:rPr>
  </w:style>
  <w:style w:type="paragraph" w:styleId="Listenabsatz">
    <w:name w:val="List Paragraph"/>
    <w:basedOn w:val="Standard"/>
    <w:uiPriority w:val="34"/>
    <w:rsid w:val="00A93B5B"/>
    <w:pPr>
      <w:ind w:left="720"/>
      <w:contextualSpacing/>
    </w:pPr>
  </w:style>
  <w:style w:type="character" w:customStyle="1" w:styleId="berschrift3Zchn">
    <w:name w:val="Überschrift 3 Zchn"/>
    <w:link w:val="berschrift3"/>
    <w:rsid w:val="00C465E6"/>
    <w:rPr>
      <w:rFonts w:ascii="Arial" w:hAnsi="Arial" w:cs="Arial"/>
      <w:b/>
      <w:bCs/>
      <w:sz w:val="26"/>
      <w:szCs w:val="26"/>
      <w:lang w:val="fr-CH" w:eastAsia="de-DE"/>
    </w:rPr>
  </w:style>
  <w:style w:type="paragraph" w:styleId="berarbeitung">
    <w:name w:val="Revision"/>
    <w:hidden/>
    <w:uiPriority w:val="99"/>
    <w:semiHidden/>
    <w:rsid w:val="00C53FE5"/>
    <w:rPr>
      <w:rFonts w:ascii="Arial" w:hAnsi="Arial" w:cs="Arial"/>
      <w:sz w:val="22"/>
      <w:szCs w:val="22"/>
      <w:lang w:eastAsia="de-DE"/>
    </w:rPr>
  </w:style>
  <w:style w:type="character" w:styleId="Kommentarzeichen">
    <w:name w:val="annotation reference"/>
    <w:basedOn w:val="Absatz-Standardschriftart"/>
    <w:semiHidden/>
    <w:unhideWhenUsed/>
    <w:rsid w:val="00B12DB0"/>
    <w:rPr>
      <w:sz w:val="16"/>
      <w:szCs w:val="16"/>
    </w:rPr>
  </w:style>
  <w:style w:type="paragraph" w:styleId="Kommentartext">
    <w:name w:val="annotation text"/>
    <w:basedOn w:val="Standard"/>
    <w:link w:val="KommentartextZchn"/>
    <w:unhideWhenUsed/>
    <w:rsid w:val="00B12DB0"/>
    <w:rPr>
      <w:sz w:val="20"/>
      <w:szCs w:val="20"/>
    </w:rPr>
  </w:style>
  <w:style w:type="character" w:customStyle="1" w:styleId="KommentartextZchn">
    <w:name w:val="Kommentartext Zchn"/>
    <w:basedOn w:val="Absatz-Standardschriftart"/>
    <w:link w:val="Kommentartext"/>
    <w:rsid w:val="00B12DB0"/>
    <w:rPr>
      <w:rFonts w:ascii="Arial" w:hAnsi="Arial" w:cs="Arial"/>
      <w:lang w:val="fr-CH" w:eastAsia="de-DE"/>
    </w:rPr>
  </w:style>
  <w:style w:type="paragraph" w:styleId="Kommentarthema">
    <w:name w:val="annotation subject"/>
    <w:basedOn w:val="Kommentartext"/>
    <w:next w:val="Kommentartext"/>
    <w:link w:val="KommentarthemaZchn"/>
    <w:semiHidden/>
    <w:unhideWhenUsed/>
    <w:rsid w:val="00B12DB0"/>
    <w:rPr>
      <w:b/>
      <w:bCs/>
    </w:rPr>
  </w:style>
  <w:style w:type="character" w:customStyle="1" w:styleId="KommentarthemaZchn">
    <w:name w:val="Kommentarthema Zchn"/>
    <w:basedOn w:val="KommentartextZchn"/>
    <w:link w:val="Kommentarthema"/>
    <w:semiHidden/>
    <w:rsid w:val="00B12DB0"/>
    <w:rPr>
      <w:rFonts w:ascii="Arial" w:hAnsi="Arial" w:cs="Arial"/>
      <w:b/>
      <w:bCs/>
      <w:lang w:val="fr-CH" w:eastAsia="de-DE"/>
    </w:rPr>
  </w:style>
  <w:style w:type="character" w:customStyle="1" w:styleId="FunotentextZchn">
    <w:name w:val="Fußnotentext Zchn"/>
    <w:basedOn w:val="Absatz-Standardschriftart"/>
    <w:link w:val="Funotentext"/>
    <w:semiHidden/>
    <w:rsid w:val="00953A91"/>
    <w:rPr>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6550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AppData\Local\Microsoft\Windows\INetCache\Content.Outlook\3W6QV3H2\SFAMA%20SECA%20LP%20PRO%20VER_f_Documentation%20mod&#232;le%20SCmPC_150714_160701%20(0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D58A-42E9-4972-B7A0-2E36E7ED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SFAMA SECA LP PRO VER_f_Documentation modèle SCmPC_150714_160701 (002)</Template>
  <TotalTime>0</TotalTime>
  <Pages>20</Pages>
  <Words>6550</Words>
  <Characters>40198</Characters>
  <Application>Microsoft Office Word</Application>
  <DocSecurity>0</DocSecurity>
  <Lines>334</Lines>
  <Paragraphs>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SFA SECA LP PRO_f_070615 (clean)</vt:lpstr>
      <vt:lpstr>SFA SECA LP PRO_f_070615 (clean)</vt:lpstr>
    </vt:vector>
  </TitlesOfParts>
  <Company/>
  <LinksUpToDate>false</LinksUpToDate>
  <CharactersWithSpaces>46655</CharactersWithSpaces>
  <SharedDoc>false</SharedDoc>
  <HLinks>
    <vt:vector size="204" baseType="variant">
      <vt:variant>
        <vt:i4>1769523</vt:i4>
      </vt:variant>
      <vt:variant>
        <vt:i4>200</vt:i4>
      </vt:variant>
      <vt:variant>
        <vt:i4>0</vt:i4>
      </vt:variant>
      <vt:variant>
        <vt:i4>5</vt:i4>
      </vt:variant>
      <vt:variant>
        <vt:lpwstr/>
      </vt:variant>
      <vt:variant>
        <vt:lpwstr>_Toc223279552</vt:lpwstr>
      </vt:variant>
      <vt:variant>
        <vt:i4>1769523</vt:i4>
      </vt:variant>
      <vt:variant>
        <vt:i4>194</vt:i4>
      </vt:variant>
      <vt:variant>
        <vt:i4>0</vt:i4>
      </vt:variant>
      <vt:variant>
        <vt:i4>5</vt:i4>
      </vt:variant>
      <vt:variant>
        <vt:lpwstr/>
      </vt:variant>
      <vt:variant>
        <vt:lpwstr>_Toc223279551</vt:lpwstr>
      </vt:variant>
      <vt:variant>
        <vt:i4>1769523</vt:i4>
      </vt:variant>
      <vt:variant>
        <vt:i4>188</vt:i4>
      </vt:variant>
      <vt:variant>
        <vt:i4>0</vt:i4>
      </vt:variant>
      <vt:variant>
        <vt:i4>5</vt:i4>
      </vt:variant>
      <vt:variant>
        <vt:lpwstr/>
      </vt:variant>
      <vt:variant>
        <vt:lpwstr>_Toc223279550</vt:lpwstr>
      </vt:variant>
      <vt:variant>
        <vt:i4>1703987</vt:i4>
      </vt:variant>
      <vt:variant>
        <vt:i4>182</vt:i4>
      </vt:variant>
      <vt:variant>
        <vt:i4>0</vt:i4>
      </vt:variant>
      <vt:variant>
        <vt:i4>5</vt:i4>
      </vt:variant>
      <vt:variant>
        <vt:lpwstr/>
      </vt:variant>
      <vt:variant>
        <vt:lpwstr>_Toc223279549</vt:lpwstr>
      </vt:variant>
      <vt:variant>
        <vt:i4>1703987</vt:i4>
      </vt:variant>
      <vt:variant>
        <vt:i4>176</vt:i4>
      </vt:variant>
      <vt:variant>
        <vt:i4>0</vt:i4>
      </vt:variant>
      <vt:variant>
        <vt:i4>5</vt:i4>
      </vt:variant>
      <vt:variant>
        <vt:lpwstr/>
      </vt:variant>
      <vt:variant>
        <vt:lpwstr>_Toc223279548</vt:lpwstr>
      </vt:variant>
      <vt:variant>
        <vt:i4>1703987</vt:i4>
      </vt:variant>
      <vt:variant>
        <vt:i4>170</vt:i4>
      </vt:variant>
      <vt:variant>
        <vt:i4>0</vt:i4>
      </vt:variant>
      <vt:variant>
        <vt:i4>5</vt:i4>
      </vt:variant>
      <vt:variant>
        <vt:lpwstr/>
      </vt:variant>
      <vt:variant>
        <vt:lpwstr>_Toc223279547</vt:lpwstr>
      </vt:variant>
      <vt:variant>
        <vt:i4>1703987</vt:i4>
      </vt:variant>
      <vt:variant>
        <vt:i4>164</vt:i4>
      </vt:variant>
      <vt:variant>
        <vt:i4>0</vt:i4>
      </vt:variant>
      <vt:variant>
        <vt:i4>5</vt:i4>
      </vt:variant>
      <vt:variant>
        <vt:lpwstr/>
      </vt:variant>
      <vt:variant>
        <vt:lpwstr>_Toc223279546</vt:lpwstr>
      </vt:variant>
      <vt:variant>
        <vt:i4>1703987</vt:i4>
      </vt:variant>
      <vt:variant>
        <vt:i4>158</vt:i4>
      </vt:variant>
      <vt:variant>
        <vt:i4>0</vt:i4>
      </vt:variant>
      <vt:variant>
        <vt:i4>5</vt:i4>
      </vt:variant>
      <vt:variant>
        <vt:lpwstr/>
      </vt:variant>
      <vt:variant>
        <vt:lpwstr>_Toc223279545</vt:lpwstr>
      </vt:variant>
      <vt:variant>
        <vt:i4>1703987</vt:i4>
      </vt:variant>
      <vt:variant>
        <vt:i4>152</vt:i4>
      </vt:variant>
      <vt:variant>
        <vt:i4>0</vt:i4>
      </vt:variant>
      <vt:variant>
        <vt:i4>5</vt:i4>
      </vt:variant>
      <vt:variant>
        <vt:lpwstr/>
      </vt:variant>
      <vt:variant>
        <vt:lpwstr>_Toc223279544</vt:lpwstr>
      </vt:variant>
      <vt:variant>
        <vt:i4>1703987</vt:i4>
      </vt:variant>
      <vt:variant>
        <vt:i4>146</vt:i4>
      </vt:variant>
      <vt:variant>
        <vt:i4>0</vt:i4>
      </vt:variant>
      <vt:variant>
        <vt:i4>5</vt:i4>
      </vt:variant>
      <vt:variant>
        <vt:lpwstr/>
      </vt:variant>
      <vt:variant>
        <vt:lpwstr>_Toc223279543</vt:lpwstr>
      </vt:variant>
      <vt:variant>
        <vt:i4>1703987</vt:i4>
      </vt:variant>
      <vt:variant>
        <vt:i4>140</vt:i4>
      </vt:variant>
      <vt:variant>
        <vt:i4>0</vt:i4>
      </vt:variant>
      <vt:variant>
        <vt:i4>5</vt:i4>
      </vt:variant>
      <vt:variant>
        <vt:lpwstr/>
      </vt:variant>
      <vt:variant>
        <vt:lpwstr>_Toc223279542</vt:lpwstr>
      </vt:variant>
      <vt:variant>
        <vt:i4>1703987</vt:i4>
      </vt:variant>
      <vt:variant>
        <vt:i4>134</vt:i4>
      </vt:variant>
      <vt:variant>
        <vt:i4>0</vt:i4>
      </vt:variant>
      <vt:variant>
        <vt:i4>5</vt:i4>
      </vt:variant>
      <vt:variant>
        <vt:lpwstr/>
      </vt:variant>
      <vt:variant>
        <vt:lpwstr>_Toc223279541</vt:lpwstr>
      </vt:variant>
      <vt:variant>
        <vt:i4>1703987</vt:i4>
      </vt:variant>
      <vt:variant>
        <vt:i4>128</vt:i4>
      </vt:variant>
      <vt:variant>
        <vt:i4>0</vt:i4>
      </vt:variant>
      <vt:variant>
        <vt:i4>5</vt:i4>
      </vt:variant>
      <vt:variant>
        <vt:lpwstr/>
      </vt:variant>
      <vt:variant>
        <vt:lpwstr>_Toc223279540</vt:lpwstr>
      </vt:variant>
      <vt:variant>
        <vt:i4>1900595</vt:i4>
      </vt:variant>
      <vt:variant>
        <vt:i4>122</vt:i4>
      </vt:variant>
      <vt:variant>
        <vt:i4>0</vt:i4>
      </vt:variant>
      <vt:variant>
        <vt:i4>5</vt:i4>
      </vt:variant>
      <vt:variant>
        <vt:lpwstr/>
      </vt:variant>
      <vt:variant>
        <vt:lpwstr>_Toc223279539</vt:lpwstr>
      </vt:variant>
      <vt:variant>
        <vt:i4>1900595</vt:i4>
      </vt:variant>
      <vt:variant>
        <vt:i4>116</vt:i4>
      </vt:variant>
      <vt:variant>
        <vt:i4>0</vt:i4>
      </vt:variant>
      <vt:variant>
        <vt:i4>5</vt:i4>
      </vt:variant>
      <vt:variant>
        <vt:lpwstr/>
      </vt:variant>
      <vt:variant>
        <vt:lpwstr>_Toc223279538</vt:lpwstr>
      </vt:variant>
      <vt:variant>
        <vt:i4>1900595</vt:i4>
      </vt:variant>
      <vt:variant>
        <vt:i4>110</vt:i4>
      </vt:variant>
      <vt:variant>
        <vt:i4>0</vt:i4>
      </vt:variant>
      <vt:variant>
        <vt:i4>5</vt:i4>
      </vt:variant>
      <vt:variant>
        <vt:lpwstr/>
      </vt:variant>
      <vt:variant>
        <vt:lpwstr>_Toc223279537</vt:lpwstr>
      </vt:variant>
      <vt:variant>
        <vt:i4>1900595</vt:i4>
      </vt:variant>
      <vt:variant>
        <vt:i4>104</vt:i4>
      </vt:variant>
      <vt:variant>
        <vt:i4>0</vt:i4>
      </vt:variant>
      <vt:variant>
        <vt:i4>5</vt:i4>
      </vt:variant>
      <vt:variant>
        <vt:lpwstr/>
      </vt:variant>
      <vt:variant>
        <vt:lpwstr>_Toc223279536</vt:lpwstr>
      </vt:variant>
      <vt:variant>
        <vt:i4>1900595</vt:i4>
      </vt:variant>
      <vt:variant>
        <vt:i4>98</vt:i4>
      </vt:variant>
      <vt:variant>
        <vt:i4>0</vt:i4>
      </vt:variant>
      <vt:variant>
        <vt:i4>5</vt:i4>
      </vt:variant>
      <vt:variant>
        <vt:lpwstr/>
      </vt:variant>
      <vt:variant>
        <vt:lpwstr>_Toc223279535</vt:lpwstr>
      </vt:variant>
      <vt:variant>
        <vt:i4>1900595</vt:i4>
      </vt:variant>
      <vt:variant>
        <vt:i4>92</vt:i4>
      </vt:variant>
      <vt:variant>
        <vt:i4>0</vt:i4>
      </vt:variant>
      <vt:variant>
        <vt:i4>5</vt:i4>
      </vt:variant>
      <vt:variant>
        <vt:lpwstr/>
      </vt:variant>
      <vt:variant>
        <vt:lpwstr>_Toc223279534</vt:lpwstr>
      </vt:variant>
      <vt:variant>
        <vt:i4>1900595</vt:i4>
      </vt:variant>
      <vt:variant>
        <vt:i4>86</vt:i4>
      </vt:variant>
      <vt:variant>
        <vt:i4>0</vt:i4>
      </vt:variant>
      <vt:variant>
        <vt:i4>5</vt:i4>
      </vt:variant>
      <vt:variant>
        <vt:lpwstr/>
      </vt:variant>
      <vt:variant>
        <vt:lpwstr>_Toc223279533</vt:lpwstr>
      </vt:variant>
      <vt:variant>
        <vt:i4>1900595</vt:i4>
      </vt:variant>
      <vt:variant>
        <vt:i4>80</vt:i4>
      </vt:variant>
      <vt:variant>
        <vt:i4>0</vt:i4>
      </vt:variant>
      <vt:variant>
        <vt:i4>5</vt:i4>
      </vt:variant>
      <vt:variant>
        <vt:lpwstr/>
      </vt:variant>
      <vt:variant>
        <vt:lpwstr>_Toc223279532</vt:lpwstr>
      </vt:variant>
      <vt:variant>
        <vt:i4>1900595</vt:i4>
      </vt:variant>
      <vt:variant>
        <vt:i4>74</vt:i4>
      </vt:variant>
      <vt:variant>
        <vt:i4>0</vt:i4>
      </vt:variant>
      <vt:variant>
        <vt:i4>5</vt:i4>
      </vt:variant>
      <vt:variant>
        <vt:lpwstr/>
      </vt:variant>
      <vt:variant>
        <vt:lpwstr>_Toc223279531</vt:lpwstr>
      </vt:variant>
      <vt:variant>
        <vt:i4>1900595</vt:i4>
      </vt:variant>
      <vt:variant>
        <vt:i4>68</vt:i4>
      </vt:variant>
      <vt:variant>
        <vt:i4>0</vt:i4>
      </vt:variant>
      <vt:variant>
        <vt:i4>5</vt:i4>
      </vt:variant>
      <vt:variant>
        <vt:lpwstr/>
      </vt:variant>
      <vt:variant>
        <vt:lpwstr>_Toc223279530</vt:lpwstr>
      </vt:variant>
      <vt:variant>
        <vt:i4>1835059</vt:i4>
      </vt:variant>
      <vt:variant>
        <vt:i4>62</vt:i4>
      </vt:variant>
      <vt:variant>
        <vt:i4>0</vt:i4>
      </vt:variant>
      <vt:variant>
        <vt:i4>5</vt:i4>
      </vt:variant>
      <vt:variant>
        <vt:lpwstr/>
      </vt:variant>
      <vt:variant>
        <vt:lpwstr>_Toc223279529</vt:lpwstr>
      </vt:variant>
      <vt:variant>
        <vt:i4>1835059</vt:i4>
      </vt:variant>
      <vt:variant>
        <vt:i4>56</vt:i4>
      </vt:variant>
      <vt:variant>
        <vt:i4>0</vt:i4>
      </vt:variant>
      <vt:variant>
        <vt:i4>5</vt:i4>
      </vt:variant>
      <vt:variant>
        <vt:lpwstr/>
      </vt:variant>
      <vt:variant>
        <vt:lpwstr>_Toc223279528</vt:lpwstr>
      </vt:variant>
      <vt:variant>
        <vt:i4>1835059</vt:i4>
      </vt:variant>
      <vt:variant>
        <vt:i4>50</vt:i4>
      </vt:variant>
      <vt:variant>
        <vt:i4>0</vt:i4>
      </vt:variant>
      <vt:variant>
        <vt:i4>5</vt:i4>
      </vt:variant>
      <vt:variant>
        <vt:lpwstr/>
      </vt:variant>
      <vt:variant>
        <vt:lpwstr>_Toc223279527</vt:lpwstr>
      </vt:variant>
      <vt:variant>
        <vt:i4>1835059</vt:i4>
      </vt:variant>
      <vt:variant>
        <vt:i4>44</vt:i4>
      </vt:variant>
      <vt:variant>
        <vt:i4>0</vt:i4>
      </vt:variant>
      <vt:variant>
        <vt:i4>5</vt:i4>
      </vt:variant>
      <vt:variant>
        <vt:lpwstr/>
      </vt:variant>
      <vt:variant>
        <vt:lpwstr>_Toc223279526</vt:lpwstr>
      </vt:variant>
      <vt:variant>
        <vt:i4>1835059</vt:i4>
      </vt:variant>
      <vt:variant>
        <vt:i4>38</vt:i4>
      </vt:variant>
      <vt:variant>
        <vt:i4>0</vt:i4>
      </vt:variant>
      <vt:variant>
        <vt:i4>5</vt:i4>
      </vt:variant>
      <vt:variant>
        <vt:lpwstr/>
      </vt:variant>
      <vt:variant>
        <vt:lpwstr>_Toc223279525</vt:lpwstr>
      </vt:variant>
      <vt:variant>
        <vt:i4>1835059</vt:i4>
      </vt:variant>
      <vt:variant>
        <vt:i4>32</vt:i4>
      </vt:variant>
      <vt:variant>
        <vt:i4>0</vt:i4>
      </vt:variant>
      <vt:variant>
        <vt:i4>5</vt:i4>
      </vt:variant>
      <vt:variant>
        <vt:lpwstr/>
      </vt:variant>
      <vt:variant>
        <vt:lpwstr>_Toc223279524</vt:lpwstr>
      </vt:variant>
      <vt:variant>
        <vt:i4>1835059</vt:i4>
      </vt:variant>
      <vt:variant>
        <vt:i4>26</vt:i4>
      </vt:variant>
      <vt:variant>
        <vt:i4>0</vt:i4>
      </vt:variant>
      <vt:variant>
        <vt:i4>5</vt:i4>
      </vt:variant>
      <vt:variant>
        <vt:lpwstr/>
      </vt:variant>
      <vt:variant>
        <vt:lpwstr>_Toc223279523</vt:lpwstr>
      </vt:variant>
      <vt:variant>
        <vt:i4>1835059</vt:i4>
      </vt:variant>
      <vt:variant>
        <vt:i4>20</vt:i4>
      </vt:variant>
      <vt:variant>
        <vt:i4>0</vt:i4>
      </vt:variant>
      <vt:variant>
        <vt:i4>5</vt:i4>
      </vt:variant>
      <vt:variant>
        <vt:lpwstr/>
      </vt:variant>
      <vt:variant>
        <vt:lpwstr>_Toc223279522</vt:lpwstr>
      </vt:variant>
      <vt:variant>
        <vt:i4>1835059</vt:i4>
      </vt:variant>
      <vt:variant>
        <vt:i4>14</vt:i4>
      </vt:variant>
      <vt:variant>
        <vt:i4>0</vt:i4>
      </vt:variant>
      <vt:variant>
        <vt:i4>5</vt:i4>
      </vt:variant>
      <vt:variant>
        <vt:lpwstr/>
      </vt:variant>
      <vt:variant>
        <vt:lpwstr>_Toc223279521</vt:lpwstr>
      </vt:variant>
      <vt:variant>
        <vt:i4>1835059</vt:i4>
      </vt:variant>
      <vt:variant>
        <vt:i4>8</vt:i4>
      </vt:variant>
      <vt:variant>
        <vt:i4>0</vt:i4>
      </vt:variant>
      <vt:variant>
        <vt:i4>5</vt:i4>
      </vt:variant>
      <vt:variant>
        <vt:lpwstr/>
      </vt:variant>
      <vt:variant>
        <vt:lpwstr>_Toc223279520</vt:lpwstr>
      </vt:variant>
      <vt:variant>
        <vt:i4>2031667</vt:i4>
      </vt:variant>
      <vt:variant>
        <vt:i4>2</vt:i4>
      </vt:variant>
      <vt:variant>
        <vt:i4>0</vt:i4>
      </vt:variant>
      <vt:variant>
        <vt:i4>5</vt:i4>
      </vt:variant>
      <vt:variant>
        <vt:lpwstr/>
      </vt:variant>
      <vt:variant>
        <vt:lpwstr>_Toc223279519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 SECA LP PRO_f_070615 (clean)</dc:title>
  <dc:creator>Autor</dc:creator>
  <cp:lastModifiedBy>Schneider Sandra</cp:lastModifiedBy>
  <cp:revision>13</cp:revision>
  <cp:lastPrinted>2022-02-04T08:49:00Z</cp:lastPrinted>
  <dcterms:created xsi:type="dcterms:W3CDTF">2022-01-27T08:01:00Z</dcterms:created>
  <dcterms:modified xsi:type="dcterms:W3CDTF">2022-02-04T08:50:00Z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